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66558" w:rsidP="00D96778" w:rsidRDefault="009D71E8" w14:paraId="2A7D54B1" w14:textId="346489E0">
      <w:pPr>
        <w:pStyle w:val="Heading1"/>
        <w:jc w:val="center"/>
      </w:pPr>
      <w:bookmarkStart w:name="_Toc400361362" w:id="0"/>
      <w:bookmarkStart w:name="_Toc443397153" w:id="1"/>
      <w:bookmarkStart w:name="_Toc357771638" w:id="2"/>
      <w:bookmarkStart w:name="_Toc346793416" w:id="3"/>
      <w:bookmarkStart w:name="_Toc328122777" w:id="4"/>
      <w:r w:rsidR="638B18AC">
        <w:rPr/>
        <w:t xml:space="preserve"> </w:t>
      </w:r>
      <w:r w:rsidR="16744B3B">
        <w:rPr/>
        <w:t xml:space="preserve">              </w:t>
      </w:r>
      <w:r w:rsidR="52C5DDC0">
        <w:rPr/>
        <w:t xml:space="preserve"> </w:t>
      </w:r>
      <w:r w:rsidR="009D71E8">
        <w:rPr/>
        <w:t>Pupil premium strategy statement</w:t>
      </w:r>
      <w:r w:rsidR="4C93CCC8">
        <w:rPr/>
        <w:t xml:space="preserve">                      </w:t>
      </w:r>
      <w:r w:rsidR="7AADCFE8">
        <w:rPr/>
        <w:t xml:space="preserve"> </w:t>
      </w:r>
      <w:bookmarkEnd w:id="0"/>
      <w:bookmarkEnd w:id="1"/>
      <w:bookmarkStart w:name="_Toc338167830" w:id="5"/>
      <w:bookmarkStart w:name="_Toc361136403" w:id="6"/>
      <w:bookmarkStart w:name="_Toc364235708" w:id="7"/>
      <w:bookmarkStart w:name="_Toc364235752" w:id="8"/>
      <w:bookmarkStart w:name="_Toc364235834" w:id="9"/>
      <w:bookmarkStart w:name="_Toc364840099" w:id="10"/>
      <w:bookmarkStart w:name="_Toc364864309" w:id="11"/>
      <w:bookmarkStart w:name="_Toc400361364" w:id="12"/>
      <w:bookmarkStart w:name="_Toc443397154" w:id="13"/>
      <w:r w:rsidR="00D96778">
        <w:rPr/>
        <w:t>Culcheth Community Primary School</w:t>
      </w:r>
    </w:p>
    <w:p w:rsidR="00D96778" w:rsidP="0079564C" w:rsidRDefault="009D71E8" w14:paraId="3AA9B124" w14:textId="77777777">
      <w:pPr>
        <w:pStyle w:val="NoSpacing"/>
      </w:pPr>
      <w:r>
        <w:t xml:space="preserve">This statement details our school’s use of pupil </w:t>
      </w:r>
      <w:r w:rsidRPr="005F2600">
        <w:t xml:space="preserve">premium </w:t>
      </w:r>
      <w:r>
        <w:t>funding to help improve the attainment of our disadvantaged pupils.</w:t>
      </w:r>
    </w:p>
    <w:p w:rsidRPr="00D96778" w:rsidR="00E66558" w:rsidP="0079564C" w:rsidRDefault="00D96778" w14:paraId="16B48015" w14:textId="50404D6F">
      <w:pPr>
        <w:pStyle w:val="NoSpacing"/>
      </w:pPr>
      <w:r>
        <w:t>This strategy has been developed as a three-year Pupil Premium strategy beginning in 2025–2026, when the current Headteacher took over leadership of the school. In line with DfE guidance, the strategy will be reviewed and the published statement updated annually to reflect the current year’s activity and the previous year’s outcomes.</w:t>
      </w:r>
    </w:p>
    <w:p w:rsidR="00E66558" w:rsidP="0079564C" w:rsidRDefault="009D71E8" w14:paraId="2A7D54B3" w14:textId="730F2E71">
      <w:pPr>
        <w:pStyle w:val="NoSpacing"/>
        <w:rPr>
          <w:b/>
        </w:rPr>
      </w:pPr>
      <w:r>
        <w:t xml:space="preserve">It outlines our pupil premium strategy, how we intend to spend the funding in this academic year and the </w:t>
      </w:r>
      <w:r w:rsidR="00830D57">
        <w:t xml:space="preserve">outcomes </w:t>
      </w:r>
      <w:r w:rsidR="00A44FBB">
        <w:t>for disadvantaged pupils</w:t>
      </w:r>
      <w:r>
        <w:t xml:space="preserve"> last </w:t>
      </w:r>
      <w:r w:rsidR="00A44FBB">
        <w:t xml:space="preserve">academic </w:t>
      </w:r>
      <w:r>
        <w:t>year</w:t>
      </w:r>
      <w:r w:rsidR="00A44FBB">
        <w:t>.</w:t>
      </w:r>
    </w:p>
    <w:p w:rsidR="00E66558" w:rsidRDefault="009D71E8" w14:paraId="2A7D54B4" w14:textId="2CAB096C">
      <w:pPr>
        <w:pStyle w:val="Heading2"/>
      </w:pPr>
      <w:r>
        <w:t>School 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4A0" w:firstRow="1" w:lastRow="0" w:firstColumn="1" w:lastColumn="0" w:noHBand="0" w:noVBand="1"/>
      </w:tblPr>
      <w:tblGrid>
        <w:gridCol w:w="6517"/>
        <w:gridCol w:w="2969"/>
      </w:tblGrid>
      <w:tr w:rsidR="00E66558" w:rsidTr="5888AA88" w14:paraId="2A7D54B7" w14:textId="77777777">
        <w:tc>
          <w:tcPr>
            <w:tcW w:w="65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FDCE3"/>
            <w:tcMar>
              <w:top w:w="0" w:type="dxa"/>
              <w:left w:w="108" w:type="dxa"/>
              <w:bottom w:w="0" w:type="dxa"/>
              <w:right w:w="108" w:type="dxa"/>
            </w:tcMar>
          </w:tcPr>
          <w:p w:rsidR="00E66558" w:rsidP="00C31636" w:rsidRDefault="009D71E8" w14:paraId="2A7D54B5" w14:textId="77777777">
            <w:pPr>
              <w:pStyle w:val="TableHeader"/>
              <w:ind w:left="0" w:right="0"/>
              <w:jc w:val="left"/>
            </w:pPr>
            <w:r>
              <w:t>Detail</w:t>
            </w:r>
          </w:p>
        </w:tc>
        <w:tc>
          <w:tcPr>
            <w:tcW w:w="296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FDCE3"/>
            <w:tcMar>
              <w:top w:w="0" w:type="dxa"/>
              <w:left w:w="108" w:type="dxa"/>
              <w:bottom w:w="0" w:type="dxa"/>
              <w:right w:w="108" w:type="dxa"/>
            </w:tcMar>
          </w:tcPr>
          <w:p w:rsidR="00E66558" w:rsidP="00C31636" w:rsidRDefault="009D71E8" w14:paraId="51A59785" w14:textId="77777777">
            <w:pPr>
              <w:pStyle w:val="TableHeader"/>
              <w:ind w:left="0" w:right="0"/>
              <w:jc w:val="left"/>
            </w:pPr>
            <w:r>
              <w:t>Data</w:t>
            </w:r>
          </w:p>
        </w:tc>
      </w:tr>
      <w:tr w:rsidR="002940F3" w:rsidTr="5888AA88" w14:paraId="2A7D54BA" w14:textId="77777777">
        <w:tc>
          <w:tcPr>
            <w:tcW w:w="651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2940F3" w:rsidP="00C31636" w:rsidRDefault="002940F3" w14:paraId="2A7D54B8" w14:textId="56337796">
            <w:pPr>
              <w:pStyle w:val="TableRow"/>
              <w:ind w:left="0" w:right="0"/>
            </w:pPr>
            <w:r>
              <w:t>Number of pupils in school</w:t>
            </w:r>
          </w:p>
        </w:tc>
        <w:tc>
          <w:tcPr>
            <w:tcW w:w="296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2940F3" w:rsidP="00C31636" w:rsidRDefault="00D96778" w14:paraId="2A7D54B9" w14:textId="577F3469">
            <w:pPr>
              <w:pStyle w:val="TableRow"/>
              <w:ind w:left="0" w:right="0"/>
            </w:pPr>
            <w:r>
              <w:t>216</w:t>
            </w:r>
          </w:p>
        </w:tc>
      </w:tr>
      <w:tr w:rsidR="002940F3" w:rsidTr="5888AA88" w14:paraId="2A7D54BD" w14:textId="77777777">
        <w:tc>
          <w:tcPr>
            <w:tcW w:w="651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2940F3" w:rsidP="00C31636" w:rsidRDefault="002940F3" w14:paraId="2A7D54BB" w14:textId="04774D67">
            <w:pPr>
              <w:pStyle w:val="TableRow"/>
              <w:ind w:left="0" w:right="0"/>
            </w:pPr>
            <w:r>
              <w:t>Proportion (%) of pupil premium eligible pupils</w:t>
            </w:r>
          </w:p>
        </w:tc>
        <w:tc>
          <w:tcPr>
            <w:tcW w:w="296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2940F3" w:rsidP="00C31636" w:rsidRDefault="00D96778" w14:paraId="2A7D54BC" w14:textId="2653738C">
            <w:pPr>
              <w:pStyle w:val="TableRow"/>
              <w:ind w:left="0" w:right="0"/>
            </w:pPr>
            <w:r>
              <w:t>24.5%</w:t>
            </w:r>
          </w:p>
        </w:tc>
      </w:tr>
      <w:tr w:rsidR="002940F3" w:rsidTr="5888AA88" w14:paraId="2A7D54C0" w14:textId="77777777">
        <w:tc>
          <w:tcPr>
            <w:tcW w:w="651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2940F3" w:rsidP="00C31636" w:rsidRDefault="002940F3" w14:paraId="2A7D54BE" w14:textId="2A82B8D4">
            <w:pPr>
              <w:pStyle w:val="TableRow"/>
              <w:ind w:left="0" w:right="0"/>
            </w:pPr>
            <w:r>
              <w:t xml:space="preserve">Academic year/years that our current pupil premium strategy plan covers </w:t>
            </w:r>
            <w:r w:rsidRPr="1CBF4D92">
              <w:rPr>
                <w:b/>
              </w:rPr>
              <w:t>(</w:t>
            </w:r>
            <w:r w:rsidRPr="004B4D0A" w:rsidR="004E57C3">
              <w:rPr>
                <w:b/>
              </w:rPr>
              <w:t>3-year</w:t>
            </w:r>
            <w:r w:rsidRPr="1CBF4D92">
              <w:rPr>
                <w:b/>
              </w:rPr>
              <w:t xml:space="preserve"> plans are recommended</w:t>
            </w:r>
            <w:r w:rsidR="00D5360D">
              <w:rPr>
                <w:b/>
              </w:rPr>
              <w:t xml:space="preserve"> </w:t>
            </w:r>
            <w:r w:rsidR="00560424">
              <w:rPr>
                <w:b/>
              </w:rPr>
              <w:t>– you must still publish an updated statement each academic year</w:t>
            </w:r>
            <w:r w:rsidRPr="1CBF4D92">
              <w:rPr>
                <w:b/>
              </w:rPr>
              <w:t>)</w:t>
            </w:r>
          </w:p>
        </w:tc>
        <w:tc>
          <w:tcPr>
            <w:tcW w:w="296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79564C" w:rsidP="00C31636" w:rsidRDefault="00D96778" w14:paraId="7F5D9EA0" w14:textId="37E4408A">
            <w:pPr>
              <w:pStyle w:val="TableRow"/>
              <w:ind w:left="0" w:right="0"/>
            </w:pPr>
            <w:r w:rsidR="00D96778">
              <w:rPr/>
              <w:t>2025</w:t>
            </w:r>
            <w:r w:rsidR="4766FF44">
              <w:rPr/>
              <w:t xml:space="preserve"> </w:t>
            </w:r>
            <w:r w:rsidR="00D96778">
              <w:rPr/>
              <w:t>-</w:t>
            </w:r>
            <w:r w:rsidR="4766FF44">
              <w:rPr/>
              <w:t xml:space="preserve"> </w:t>
            </w:r>
            <w:r w:rsidR="00D96778">
              <w:rPr/>
              <w:t xml:space="preserve">2026 </w:t>
            </w:r>
          </w:p>
          <w:p w:rsidR="0079564C" w:rsidP="00C31636" w:rsidRDefault="0079564C" w14:paraId="2E6CC8DF" w14:textId="52A6EA11">
            <w:pPr>
              <w:pStyle w:val="TableRow"/>
              <w:ind w:left="0" w:right="0"/>
            </w:pPr>
            <w:r>
              <w:t xml:space="preserve">2026 – </w:t>
            </w:r>
            <w:r w:rsidR="00D96778">
              <w:t>2027</w:t>
            </w:r>
          </w:p>
          <w:p w:rsidR="002940F3" w:rsidP="00C31636" w:rsidRDefault="0079564C" w14:paraId="2A7D54BF" w14:textId="138CDE4D">
            <w:pPr>
              <w:pStyle w:val="TableRow"/>
              <w:ind w:left="0" w:right="0"/>
            </w:pPr>
            <w:r>
              <w:t xml:space="preserve">2027 </w:t>
            </w:r>
            <w:r w:rsidR="00D96778">
              <w:t>-</w:t>
            </w:r>
            <w:r>
              <w:t xml:space="preserve"> </w:t>
            </w:r>
            <w:r w:rsidR="00D96778">
              <w:t>2028</w:t>
            </w:r>
          </w:p>
        </w:tc>
      </w:tr>
      <w:tr w:rsidR="002940F3" w:rsidTr="5888AA88" w14:paraId="2A7D54C3" w14:textId="77777777">
        <w:tc>
          <w:tcPr>
            <w:tcW w:w="651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2940F3" w:rsidP="00C31636" w:rsidRDefault="002940F3" w14:paraId="2A7D54C1" w14:textId="0F472705">
            <w:pPr>
              <w:pStyle w:val="TableRow"/>
              <w:ind w:left="0" w:right="0"/>
            </w:pPr>
            <w:r>
              <w:rPr>
                <w:szCs w:val="22"/>
              </w:rPr>
              <w:t>Date this statement was published</w:t>
            </w:r>
          </w:p>
        </w:tc>
        <w:tc>
          <w:tcPr>
            <w:tcW w:w="296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2940F3" w:rsidP="00C31636" w:rsidRDefault="00D96778" w14:paraId="2A7D54C2" w14:textId="22356F68">
            <w:pPr>
              <w:pStyle w:val="TableRow"/>
              <w:ind w:left="0" w:right="0"/>
            </w:pPr>
            <w:r>
              <w:t>1.9.2025</w:t>
            </w:r>
          </w:p>
        </w:tc>
      </w:tr>
      <w:tr w:rsidR="002940F3" w:rsidTr="5888AA88" w14:paraId="2A7D54C6" w14:textId="77777777">
        <w:tc>
          <w:tcPr>
            <w:tcW w:w="651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2940F3" w:rsidP="00C31636" w:rsidRDefault="002940F3" w14:paraId="2A7D54C4" w14:textId="0C766347">
            <w:pPr>
              <w:pStyle w:val="TableRow"/>
              <w:ind w:left="0" w:right="0"/>
            </w:pPr>
            <w:r>
              <w:rPr>
                <w:szCs w:val="22"/>
              </w:rPr>
              <w:t>Date on which it will be reviewed</w:t>
            </w:r>
          </w:p>
        </w:tc>
        <w:tc>
          <w:tcPr>
            <w:tcW w:w="296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2940F3" w:rsidP="00C31636" w:rsidRDefault="00D96778" w14:paraId="2A7D54C5" w14:textId="2D9FB726">
            <w:pPr>
              <w:pStyle w:val="TableRow"/>
              <w:ind w:left="0" w:right="0"/>
            </w:pPr>
            <w:r>
              <w:t>30.7.2026</w:t>
            </w:r>
          </w:p>
        </w:tc>
      </w:tr>
      <w:tr w:rsidR="002940F3" w:rsidTr="5888AA88" w14:paraId="2A7D54C9" w14:textId="77777777">
        <w:tc>
          <w:tcPr>
            <w:tcW w:w="651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2940F3" w:rsidP="00C31636" w:rsidRDefault="002940F3" w14:paraId="2A7D54C7" w14:textId="7605248E">
            <w:pPr>
              <w:pStyle w:val="TableRow"/>
              <w:ind w:left="0" w:right="0"/>
            </w:pPr>
            <w:r>
              <w:t>Statement authorised by</w:t>
            </w:r>
          </w:p>
        </w:tc>
        <w:tc>
          <w:tcPr>
            <w:tcW w:w="296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2940F3" w:rsidP="00C31636" w:rsidRDefault="0079564C" w14:paraId="2A7D54C8" w14:textId="1B390FED">
            <w:pPr>
              <w:pStyle w:val="TableRow"/>
              <w:ind w:left="0" w:right="0"/>
            </w:pPr>
            <w:r>
              <w:t>Reina Fazackerley, Headteacher</w:t>
            </w:r>
          </w:p>
        </w:tc>
      </w:tr>
      <w:tr w:rsidR="002940F3" w:rsidTr="5888AA88" w14:paraId="2A7D54CC" w14:textId="77777777">
        <w:tc>
          <w:tcPr>
            <w:tcW w:w="651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2940F3" w:rsidP="00C31636" w:rsidRDefault="002940F3" w14:paraId="2A7D54CA" w14:textId="5DC091D2">
            <w:pPr>
              <w:pStyle w:val="TableRow"/>
              <w:ind w:left="0" w:right="0"/>
            </w:pPr>
            <w:r>
              <w:t>Pupil premium lead</w:t>
            </w:r>
          </w:p>
        </w:tc>
        <w:tc>
          <w:tcPr>
            <w:tcW w:w="296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2940F3" w:rsidP="00C31636" w:rsidRDefault="0079564C" w14:paraId="2A7D54CB" w14:textId="2A07B261">
            <w:pPr>
              <w:pStyle w:val="TableRow"/>
              <w:ind w:left="0" w:right="0"/>
            </w:pPr>
            <w:r>
              <w:t>Reina Fazackerley, Headteacher</w:t>
            </w:r>
          </w:p>
        </w:tc>
      </w:tr>
      <w:tr w:rsidR="002940F3" w:rsidTr="5888AA88" w14:paraId="2A7D54CF" w14:textId="77777777">
        <w:tc>
          <w:tcPr>
            <w:tcW w:w="651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2940F3" w:rsidP="00C31636" w:rsidRDefault="002940F3" w14:paraId="2A7D54CD" w14:textId="08FA5419">
            <w:pPr>
              <w:pStyle w:val="TableRow"/>
              <w:ind w:left="0" w:right="0"/>
            </w:pPr>
            <w:r>
              <w:t xml:space="preserve">Governor </w:t>
            </w:r>
            <w:r>
              <w:rPr>
                <w:szCs w:val="22"/>
              </w:rPr>
              <w:t xml:space="preserve">/ Trustee </w:t>
            </w:r>
            <w:r>
              <w:t>lead</w:t>
            </w:r>
          </w:p>
        </w:tc>
        <w:tc>
          <w:tcPr>
            <w:tcW w:w="296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2940F3" w:rsidP="00C31636" w:rsidRDefault="0079564C" w14:paraId="2A7D54CE" w14:textId="4D1E5076">
            <w:pPr>
              <w:pStyle w:val="TableRow"/>
              <w:ind w:left="0" w:right="0"/>
            </w:pPr>
            <w:r w:rsidR="4766FF44">
              <w:rPr/>
              <w:t>Kate O’Donnell, Chair o</w:t>
            </w:r>
            <w:r w:rsidR="3E634170">
              <w:rPr/>
              <w:t>f</w:t>
            </w:r>
            <w:r w:rsidR="4766FF44">
              <w:rPr/>
              <w:t xml:space="preserve"> Governors</w:t>
            </w:r>
          </w:p>
        </w:tc>
      </w:tr>
    </w:tbl>
    <w:bookmarkEnd w:id="2"/>
    <w:bookmarkEnd w:id="3"/>
    <w:bookmarkEnd w:id="4"/>
    <w:p w:rsidRPr="005464A1" w:rsidR="00E66558" w:rsidP="005464A1" w:rsidRDefault="009D71E8" w14:paraId="2A7D54D3" w14:textId="77777777">
      <w:pPr>
        <w:pStyle w:val="Heading2"/>
      </w:pPr>
      <w:r>
        <w:t>Funding overview</w:t>
      </w:r>
    </w:p>
    <w:tbl>
      <w:tblPr>
        <w:tblW w:w="9486" w:type="dxa"/>
        <w:tblCellMar>
          <w:left w:w="10" w:type="dxa"/>
          <w:right w:w="10" w:type="dxa"/>
        </w:tblCellMar>
        <w:tblLook w:val="04A0" w:firstRow="1" w:lastRow="0" w:firstColumn="1" w:lastColumn="0" w:noHBand="0" w:noVBand="1"/>
      </w:tblPr>
      <w:tblGrid>
        <w:gridCol w:w="6516"/>
        <w:gridCol w:w="2970"/>
      </w:tblGrid>
      <w:tr w:rsidR="00E66558" w:rsidTr="709C33EC" w14:paraId="2A7D54D6" w14:textId="77777777">
        <w:trPr>
          <w:trHeight w:val="374"/>
        </w:trPr>
        <w:tc>
          <w:tcPr>
            <w:tcW w:w="651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FDCE3"/>
            <w:tcMar>
              <w:top w:w="0" w:type="dxa"/>
              <w:left w:w="108" w:type="dxa"/>
              <w:bottom w:w="0" w:type="dxa"/>
              <w:right w:w="108" w:type="dxa"/>
            </w:tcMar>
            <w:vAlign w:val="center"/>
          </w:tcPr>
          <w:p w:rsidR="00E66558" w:rsidP="00C31636" w:rsidRDefault="009D71E8" w14:paraId="2A7D54D4" w14:textId="77777777">
            <w:pPr>
              <w:pStyle w:val="TableRow"/>
              <w:ind w:left="0" w:right="0"/>
            </w:pPr>
            <w:r>
              <w:rPr>
                <w:b/>
              </w:rPr>
              <w:t>Detail</w:t>
            </w:r>
          </w:p>
        </w:tc>
        <w:tc>
          <w:tcPr>
            <w:tcW w:w="29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FDCE3"/>
            <w:tcMar>
              <w:top w:w="0" w:type="dxa"/>
              <w:left w:w="108" w:type="dxa"/>
              <w:bottom w:w="0" w:type="dxa"/>
              <w:right w:w="108" w:type="dxa"/>
            </w:tcMar>
            <w:vAlign w:val="center"/>
          </w:tcPr>
          <w:p w:rsidR="00E66558" w:rsidP="00C31636" w:rsidRDefault="009D71E8" w14:paraId="2A7D54D5" w14:textId="77777777">
            <w:pPr>
              <w:pStyle w:val="TableRow"/>
              <w:ind w:left="0" w:right="0"/>
            </w:pPr>
            <w:r>
              <w:rPr>
                <w:b/>
              </w:rPr>
              <w:t>Amount</w:t>
            </w:r>
          </w:p>
        </w:tc>
      </w:tr>
      <w:tr w:rsidR="00E66558" w:rsidTr="709C33EC" w14:paraId="2A7D54D9" w14:textId="77777777">
        <w:trPr>
          <w:trHeight w:val="374"/>
        </w:trPr>
        <w:tc>
          <w:tcPr>
            <w:tcW w:w="651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00E66558" w:rsidP="00C31636" w:rsidRDefault="009D71E8" w14:paraId="2A7D54D7" w14:textId="77777777">
            <w:pPr>
              <w:pStyle w:val="TableRow"/>
              <w:ind w:left="0" w:right="0"/>
            </w:pPr>
            <w:r>
              <w:t>Pupil premium funding allocation this academic year</w:t>
            </w:r>
          </w:p>
        </w:tc>
        <w:tc>
          <w:tcPr>
            <w:tcW w:w="29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E66558" w:rsidP="00C31636" w:rsidRDefault="009D71E8" w14:paraId="2A7D54D8" w14:textId="2432BD43">
            <w:pPr>
              <w:pStyle w:val="TableRow"/>
              <w:ind w:left="0" w:right="0"/>
            </w:pPr>
            <w:r>
              <w:t>£</w:t>
            </w:r>
            <w:r w:rsidR="0079564C">
              <w:t>68,805</w:t>
            </w:r>
          </w:p>
        </w:tc>
      </w:tr>
      <w:tr w:rsidR="00E66558" w:rsidTr="709C33EC" w14:paraId="2A7D54DF" w14:textId="77777777">
        <w:trPr>
          <w:trHeight w:val="374"/>
        </w:trPr>
        <w:tc>
          <w:tcPr>
            <w:tcW w:w="651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Pr="005F16B6" w:rsidR="007109F6" w:rsidP="00C31636" w:rsidRDefault="009D71E8" w14:paraId="2A7D54DD" w14:textId="74690F68">
            <w:pPr>
              <w:pStyle w:val="TableRow"/>
              <w:spacing w:after="120"/>
              <w:ind w:left="0" w:right="0"/>
            </w:pPr>
            <w:r>
              <w:t>Pupil premium</w:t>
            </w:r>
            <w:r w:rsidR="005F16B6">
              <w:t xml:space="preserve"> </w:t>
            </w:r>
            <w:r>
              <w:t xml:space="preserve">funding carried forward from previous years </w:t>
            </w:r>
            <w:r w:rsidRPr="008E000B">
              <w:rPr>
                <w:i/>
                <w:iCs/>
              </w:rPr>
              <w:t>(enter £0 if not applicable)</w:t>
            </w:r>
          </w:p>
        </w:tc>
        <w:tc>
          <w:tcPr>
            <w:tcW w:w="29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E66558" w:rsidP="00C31636" w:rsidRDefault="009D71E8" w14:paraId="2A7D54DE" w14:textId="4993756D">
            <w:pPr>
              <w:pStyle w:val="TableRow"/>
              <w:ind w:left="0" w:right="0"/>
            </w:pPr>
            <w:r>
              <w:t>£</w:t>
            </w:r>
            <w:r w:rsidR="0079564C">
              <w:t>0</w:t>
            </w:r>
          </w:p>
        </w:tc>
      </w:tr>
      <w:tr w:rsidR="00E66558" w:rsidTr="709C33EC" w14:paraId="2A7D54E3" w14:textId="77777777">
        <w:tc>
          <w:tcPr>
            <w:tcW w:w="651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E66558" w:rsidP="00C31636" w:rsidRDefault="009D71E8" w14:paraId="2A7D54E0" w14:textId="77777777">
            <w:pPr>
              <w:pStyle w:val="TableRow"/>
              <w:spacing w:after="120"/>
              <w:ind w:left="0" w:right="0"/>
              <w:rPr>
                <w:b/>
              </w:rPr>
            </w:pPr>
            <w:r>
              <w:rPr>
                <w:b/>
              </w:rPr>
              <w:t>Total budget for this academic year</w:t>
            </w:r>
          </w:p>
          <w:p w:rsidRPr="003C4388" w:rsidR="00E66558" w:rsidP="00C31636" w:rsidRDefault="009D71E8" w14:paraId="2A7D54E1" w14:textId="77777777">
            <w:pPr>
              <w:pStyle w:val="TableRow"/>
              <w:ind w:left="0" w:right="0"/>
              <w:rPr>
                <w:i/>
                <w:iCs/>
              </w:rPr>
            </w:pPr>
            <w:r w:rsidRPr="003C4388">
              <w:rPr>
                <w:i/>
                <w:iCs/>
              </w:rPr>
              <w:t>If your school is an academy in a trust that pools this funding, state the amount available to your school this academic year</w:t>
            </w:r>
          </w:p>
        </w:tc>
        <w:tc>
          <w:tcPr>
            <w:tcW w:w="29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E66558" w:rsidP="00C31636" w:rsidRDefault="009D71E8" w14:paraId="2A7D54E2" w14:textId="562B0084">
            <w:pPr>
              <w:pStyle w:val="TableRow"/>
              <w:ind w:left="0" w:right="0"/>
            </w:pPr>
            <w:r>
              <w:t>£</w:t>
            </w:r>
            <w:r w:rsidR="0079564C">
              <w:t>68,805</w:t>
            </w:r>
          </w:p>
        </w:tc>
      </w:tr>
    </w:tbl>
    <w:p w:rsidR="00E66558" w:rsidRDefault="009D71E8" w14:paraId="2A7D54E4" w14:textId="77777777">
      <w:pPr>
        <w:pStyle w:val="Heading1"/>
      </w:pPr>
      <w:r>
        <w:lastRenderedPageBreak/>
        <w:t>Part A: Pupil premium strategy plan</w:t>
      </w:r>
    </w:p>
    <w:p w:rsidR="00E66558" w:rsidRDefault="009D71E8" w14:paraId="2A7D54E5" w14:textId="77777777">
      <w:pPr>
        <w:pStyle w:val="Heading2"/>
      </w:pPr>
      <w:bookmarkStart w:name="_Toc357771640" w:id="14"/>
      <w:bookmarkStart w:name="_Toc346793418" w:id="15"/>
      <w:r>
        <w:t>Statement of intent</w:t>
      </w:r>
    </w:p>
    <w:tbl>
      <w:tblPr>
        <w:tblW w:w="9486" w:type="dxa"/>
        <w:tblCellMar>
          <w:left w:w="10" w:type="dxa"/>
          <w:right w:w="10" w:type="dxa"/>
        </w:tblCellMar>
        <w:tblLook w:val="04A0" w:firstRow="1" w:lastRow="0" w:firstColumn="1" w:lastColumn="0" w:noHBand="0" w:noVBand="1"/>
      </w:tblPr>
      <w:tblGrid>
        <w:gridCol w:w="9486"/>
      </w:tblGrid>
      <w:tr w:rsidR="00E66558" w14:paraId="2A7D54EA" w14:textId="77777777">
        <w:tc>
          <w:tcPr>
            <w:tcW w:w="948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79564C" w:rsidP="0079564C" w:rsidRDefault="0079564C" w14:paraId="2A5F7A7F" w14:textId="77777777">
            <w:r>
              <w:t>At Culcheth Community Primary School, we are committed to ensuring that every disadvantaged pupil can achieve their full potential. Pupil Premium is used as part of a whole-school approach to remove barriers, improve educational outcomes and ensure equitable access to the full curriculum and wider life of the school.</w:t>
            </w:r>
          </w:p>
          <w:p w:rsidR="0079564C" w:rsidP="0079564C" w:rsidRDefault="0079564C" w14:paraId="2BEB3015" w14:textId="77777777">
            <w:r>
              <w:t>The three-year strategy begins in 2025–2026, when the current Headteacher took over leadership of the school. The strategy is deliberately designed to provide continuity while allowing provision to be reviewed annually in response to assessment, pupil need, attendance, cohort characteristics and evidence of impact.</w:t>
            </w:r>
          </w:p>
          <w:p w:rsidR="0079564C" w:rsidP="0079564C" w:rsidRDefault="0079564C" w14:paraId="78A05637" w14:textId="77777777">
            <w:r>
              <w:t>Our central priority is high-quality teaching. A significant element of Pupil Premium funding is therefore used to provide additional qualified teacher capacity so that year groups can be split for English and Mathematics. The school aims, where cohort organisation permits, to teach pupils in groups of approximately 15 by a qualified teacher.</w:t>
            </w:r>
          </w:p>
          <w:p w:rsidR="0079564C" w:rsidP="0079564C" w:rsidRDefault="0079564C" w14:paraId="3A186BD9" w14:textId="77777777">
            <w:r>
              <w:t>The 15-pupil model is not simply a reduction in class size. It is intended to increase the precision and responsiveness of teaching: teachers can identify misconceptions quickly, provide immediate feedback, use targeted questioning, adapt teaching to pupils’ starting points and provide both support and challenge.</w:t>
            </w:r>
          </w:p>
          <w:p w:rsidR="0079564C" w:rsidP="0079564C" w:rsidRDefault="0079564C" w14:paraId="55EE4503" w14:textId="77777777">
            <w:r>
              <w:t>Alongside this, the school will continue to provide targeted interventions and ensure that financial disadvantage does not prevent pupils from participating in educational visits, residential experiences and extracurricular clubs.</w:t>
            </w:r>
          </w:p>
          <w:p w:rsidR="0079564C" w:rsidP="0079564C" w:rsidRDefault="0079564C" w14:paraId="30DA747C" w14:textId="77777777">
            <w:r>
              <w:t>The school does not treat disadvantaged pupils as a single homogeneous group. Provision is informed by individual assessment, pupil progress information, attendance, teacher knowledge, pastoral information and identified barriers.</w:t>
            </w:r>
          </w:p>
          <w:p w:rsidR="0079564C" w:rsidP="0079564C" w:rsidRDefault="0079564C" w14:paraId="47B37E35" w14:textId="77777777">
            <w:pPr>
              <w:pStyle w:val="Heading2"/>
            </w:pPr>
            <w:r>
              <w:t>Three-year strategic priorities</w:t>
            </w:r>
          </w:p>
          <w:tbl>
            <w:tblPr>
              <w:tblStyle w:val="TableGrid"/>
              <w:tblW w:w="0" w:type="auto"/>
              <w:jc w:val="center"/>
              <w:tblLook w:val="04A0" w:firstRow="1" w:lastRow="0" w:firstColumn="1" w:lastColumn="0" w:noHBand="0" w:noVBand="1"/>
            </w:tblPr>
            <w:tblGrid>
              <w:gridCol w:w="2281"/>
              <w:gridCol w:w="2408"/>
              <w:gridCol w:w="2280"/>
              <w:gridCol w:w="2291"/>
            </w:tblGrid>
            <w:tr w:rsidR="0079564C" w:rsidTr="00B32392" w14:paraId="098382FC" w14:textId="77777777">
              <w:trPr>
                <w:jc w:val="center"/>
              </w:trPr>
              <w:tc>
                <w:tcPr>
                  <w:tcW w:w="2556" w:type="dxa"/>
                  <w:shd w:val="clear" w:color="auto" w:fill="D9EAF7"/>
                  <w:vAlign w:val="center"/>
                </w:tcPr>
                <w:p w:rsidR="0079564C" w:rsidP="0079564C" w:rsidRDefault="0079564C" w14:paraId="4BFD83D5" w14:textId="77777777">
                  <w:r>
                    <w:rPr>
                      <w:b/>
                      <w:sz w:val="18"/>
                    </w:rPr>
                    <w:t>Priority</w:t>
                  </w:r>
                </w:p>
              </w:tc>
              <w:tc>
                <w:tcPr>
                  <w:tcW w:w="2556" w:type="dxa"/>
                  <w:shd w:val="clear" w:color="auto" w:fill="D9EAF7"/>
                  <w:vAlign w:val="center"/>
                </w:tcPr>
                <w:p w:rsidR="0079564C" w:rsidP="0079564C" w:rsidRDefault="0079564C" w14:paraId="57B74E48" w14:textId="77777777">
                  <w:r>
                    <w:rPr>
                      <w:b/>
                      <w:sz w:val="18"/>
                    </w:rPr>
                    <w:t>2025–2026</w:t>
                  </w:r>
                </w:p>
              </w:tc>
              <w:tc>
                <w:tcPr>
                  <w:tcW w:w="2556" w:type="dxa"/>
                  <w:shd w:val="clear" w:color="auto" w:fill="D9EAF7"/>
                  <w:vAlign w:val="center"/>
                </w:tcPr>
                <w:p w:rsidR="0079564C" w:rsidP="0079564C" w:rsidRDefault="0079564C" w14:paraId="2E42FA12" w14:textId="77777777">
                  <w:r>
                    <w:rPr>
                      <w:b/>
                      <w:sz w:val="18"/>
                    </w:rPr>
                    <w:t>2026–2027</w:t>
                  </w:r>
                </w:p>
              </w:tc>
              <w:tc>
                <w:tcPr>
                  <w:tcW w:w="2556" w:type="dxa"/>
                  <w:shd w:val="clear" w:color="auto" w:fill="D9EAF7"/>
                  <w:vAlign w:val="center"/>
                </w:tcPr>
                <w:p w:rsidR="0079564C" w:rsidP="0079564C" w:rsidRDefault="0079564C" w14:paraId="5A805D2E" w14:textId="77777777">
                  <w:r>
                    <w:rPr>
                      <w:b/>
                      <w:sz w:val="18"/>
                    </w:rPr>
                    <w:t>2027–2028</w:t>
                  </w:r>
                </w:p>
              </w:tc>
            </w:tr>
            <w:tr w:rsidR="0079564C" w:rsidTr="00B32392" w14:paraId="72240D3F" w14:textId="77777777">
              <w:trPr>
                <w:jc w:val="center"/>
              </w:trPr>
              <w:tc>
                <w:tcPr>
                  <w:tcW w:w="2556" w:type="dxa"/>
                  <w:vAlign w:val="center"/>
                </w:tcPr>
                <w:p w:rsidR="0079564C" w:rsidP="0079564C" w:rsidRDefault="0079564C" w14:paraId="1544A5C9" w14:textId="77777777">
                  <w:r>
                    <w:rPr>
                      <w:sz w:val="18"/>
                    </w:rPr>
                    <w:t>High-quality teaching</w:t>
                  </w:r>
                </w:p>
              </w:tc>
              <w:tc>
                <w:tcPr>
                  <w:tcW w:w="2556" w:type="dxa"/>
                  <w:vAlign w:val="center"/>
                </w:tcPr>
                <w:p w:rsidR="0079564C" w:rsidP="0079564C" w:rsidRDefault="0079564C" w14:paraId="0598D841" w14:textId="77777777">
                  <w:r>
                    <w:rPr>
                      <w:sz w:val="18"/>
                    </w:rPr>
                    <w:t>Continue 15-pupil English and Mathematics model using additional qualified teachers.</w:t>
                  </w:r>
                </w:p>
              </w:tc>
              <w:tc>
                <w:tcPr>
                  <w:tcW w:w="2556" w:type="dxa"/>
                  <w:vAlign w:val="center"/>
                </w:tcPr>
                <w:p w:rsidR="0079564C" w:rsidP="0079564C" w:rsidRDefault="0079564C" w14:paraId="53ACECFC" w14:textId="77777777">
                  <w:r>
                    <w:rPr>
                      <w:sz w:val="18"/>
                    </w:rPr>
                    <w:t>Review impact and refine group organisation; sustain where evidence demonstrates benefit.</w:t>
                  </w:r>
                </w:p>
              </w:tc>
              <w:tc>
                <w:tcPr>
                  <w:tcW w:w="2556" w:type="dxa"/>
                  <w:vAlign w:val="center"/>
                </w:tcPr>
                <w:p w:rsidR="0079564C" w:rsidP="0079564C" w:rsidRDefault="0079564C" w14:paraId="2C0C624E" w14:textId="77777777">
                  <w:r>
                    <w:rPr>
                      <w:sz w:val="18"/>
                    </w:rPr>
                    <w:t>Sustain and refine model according to cohort need, outcomes and available resources.</w:t>
                  </w:r>
                </w:p>
              </w:tc>
            </w:tr>
            <w:tr w:rsidR="0079564C" w:rsidTr="00B32392" w14:paraId="7B02EF2E" w14:textId="77777777">
              <w:trPr>
                <w:jc w:val="center"/>
              </w:trPr>
              <w:tc>
                <w:tcPr>
                  <w:tcW w:w="2556" w:type="dxa"/>
                  <w:vAlign w:val="center"/>
                </w:tcPr>
                <w:p w:rsidR="0079564C" w:rsidP="0079564C" w:rsidRDefault="0079564C" w14:paraId="6C1D0B97" w14:textId="77777777">
                  <w:r>
                    <w:rPr>
                      <w:sz w:val="18"/>
                    </w:rPr>
                    <w:t>Targeted academic support</w:t>
                  </w:r>
                </w:p>
              </w:tc>
              <w:tc>
                <w:tcPr>
                  <w:tcW w:w="2556" w:type="dxa"/>
                  <w:vAlign w:val="center"/>
                </w:tcPr>
                <w:p w:rsidR="0079564C" w:rsidP="0079564C" w:rsidRDefault="0079564C" w14:paraId="31529AAA" w14:textId="77777777">
                  <w:r>
                    <w:rPr>
                      <w:sz w:val="18"/>
                    </w:rPr>
                    <w:t xml:space="preserve">Continue interventions, targeted teaching assistant support and </w:t>
                  </w:r>
                  <w:r>
                    <w:rPr>
                      <w:sz w:val="18"/>
                    </w:rPr>
                    <w:lastRenderedPageBreak/>
                    <w:t>reading/mathematics programmes.</w:t>
                  </w:r>
                </w:p>
              </w:tc>
              <w:tc>
                <w:tcPr>
                  <w:tcW w:w="2556" w:type="dxa"/>
                  <w:vAlign w:val="center"/>
                </w:tcPr>
                <w:p w:rsidR="0079564C" w:rsidP="0079564C" w:rsidRDefault="0079564C" w14:paraId="49043A82" w14:textId="77777777">
                  <w:r>
                    <w:rPr>
                      <w:sz w:val="18"/>
                    </w:rPr>
                    <w:lastRenderedPageBreak/>
                    <w:t>Refine interventions using assessment and impact data.</w:t>
                  </w:r>
                </w:p>
              </w:tc>
              <w:tc>
                <w:tcPr>
                  <w:tcW w:w="2556" w:type="dxa"/>
                  <w:vAlign w:val="center"/>
                </w:tcPr>
                <w:p w:rsidR="0079564C" w:rsidP="0079564C" w:rsidRDefault="0079564C" w14:paraId="42456365" w14:textId="77777777">
                  <w:r>
                    <w:rPr>
                      <w:sz w:val="18"/>
                    </w:rPr>
                    <w:t>Continue only approaches demonstrating measurable impact.</w:t>
                  </w:r>
                </w:p>
              </w:tc>
            </w:tr>
            <w:tr w:rsidR="0079564C" w:rsidTr="00B32392" w14:paraId="1139E115" w14:textId="77777777">
              <w:trPr>
                <w:jc w:val="center"/>
              </w:trPr>
              <w:tc>
                <w:tcPr>
                  <w:tcW w:w="2556" w:type="dxa"/>
                  <w:vAlign w:val="center"/>
                </w:tcPr>
                <w:p w:rsidR="0079564C" w:rsidP="0079564C" w:rsidRDefault="0079564C" w14:paraId="3A9EC194" w14:textId="77777777">
                  <w:r>
                    <w:rPr>
                      <w:sz w:val="18"/>
                    </w:rPr>
                    <w:t>Wider strategies</w:t>
                  </w:r>
                </w:p>
              </w:tc>
              <w:tc>
                <w:tcPr>
                  <w:tcW w:w="2556" w:type="dxa"/>
                  <w:vAlign w:val="center"/>
                </w:tcPr>
                <w:p w:rsidR="0079564C" w:rsidP="0079564C" w:rsidRDefault="0079564C" w14:paraId="77752CFE" w14:textId="77777777">
                  <w:r>
                    <w:rPr>
                      <w:sz w:val="18"/>
                    </w:rPr>
                    <w:t>Continue subsidising trips, residentials and extracurricular clubs; address attendance/pastoral barriers.</w:t>
                  </w:r>
                </w:p>
              </w:tc>
              <w:tc>
                <w:tcPr>
                  <w:tcW w:w="2556" w:type="dxa"/>
                  <w:vAlign w:val="center"/>
                </w:tcPr>
                <w:p w:rsidR="0079564C" w:rsidP="0079564C" w:rsidRDefault="0079564C" w14:paraId="654C117E" w14:textId="77777777">
                  <w:r>
                    <w:rPr>
                      <w:sz w:val="18"/>
                    </w:rPr>
                    <w:t>Maintain equitable access and strengthen targeted support where required.</w:t>
                  </w:r>
                </w:p>
              </w:tc>
              <w:tc>
                <w:tcPr>
                  <w:tcW w:w="2556" w:type="dxa"/>
                  <w:vAlign w:val="center"/>
                </w:tcPr>
                <w:p w:rsidR="0079564C" w:rsidP="0079564C" w:rsidRDefault="0079564C" w14:paraId="32480D7A" w14:textId="77777777">
                  <w:r>
                    <w:rPr>
                      <w:sz w:val="18"/>
                    </w:rPr>
                    <w:t>Sustain effective provision and review participation and impact.</w:t>
                  </w:r>
                </w:p>
              </w:tc>
            </w:tr>
            <w:tr w:rsidR="0079564C" w:rsidTr="00B32392" w14:paraId="034D7B85" w14:textId="77777777">
              <w:trPr>
                <w:jc w:val="center"/>
              </w:trPr>
              <w:tc>
                <w:tcPr>
                  <w:tcW w:w="2556" w:type="dxa"/>
                  <w:vAlign w:val="center"/>
                </w:tcPr>
                <w:p w:rsidR="0079564C" w:rsidP="0079564C" w:rsidRDefault="0079564C" w14:paraId="747C9B59" w14:textId="77777777">
                  <w:r>
                    <w:rPr>
                      <w:sz w:val="18"/>
                    </w:rPr>
                    <w:t>Monitoring and accountability</w:t>
                  </w:r>
                </w:p>
              </w:tc>
              <w:tc>
                <w:tcPr>
                  <w:tcW w:w="2556" w:type="dxa"/>
                  <w:vAlign w:val="center"/>
                </w:tcPr>
                <w:p w:rsidR="0079564C" w:rsidP="0079564C" w:rsidRDefault="0079564C" w14:paraId="6B60926D" w14:textId="77777777">
                  <w:r>
                    <w:rPr>
                      <w:sz w:val="18"/>
                    </w:rPr>
                    <w:t>Establish baseline and monitor disadvantaged pupil outcomes termly.</w:t>
                  </w:r>
                </w:p>
              </w:tc>
              <w:tc>
                <w:tcPr>
                  <w:tcW w:w="2556" w:type="dxa"/>
                  <w:vAlign w:val="center"/>
                </w:tcPr>
                <w:p w:rsidR="0079564C" w:rsidP="0079564C" w:rsidRDefault="0079564C" w14:paraId="72DE4B6B" w14:textId="77777777">
                  <w:r>
                    <w:rPr>
                      <w:sz w:val="18"/>
                    </w:rPr>
                    <w:t>Compare outcomes and refine strategy.</w:t>
                  </w:r>
                </w:p>
              </w:tc>
              <w:tc>
                <w:tcPr>
                  <w:tcW w:w="2556" w:type="dxa"/>
                  <w:vAlign w:val="center"/>
                </w:tcPr>
                <w:p w:rsidR="0079564C" w:rsidP="0079564C" w:rsidRDefault="0079564C" w14:paraId="55003065" w14:textId="77777777">
                  <w:r>
                    <w:rPr>
                      <w:sz w:val="18"/>
                    </w:rPr>
                    <w:t>Evaluate three-year impact and establish next strategy.</w:t>
                  </w:r>
                </w:p>
              </w:tc>
            </w:tr>
          </w:tbl>
          <w:p w:rsidRPr="0079564C" w:rsidR="00E66558" w:rsidP="0079564C" w:rsidRDefault="00E66558" w14:paraId="2A7D54E9" w14:textId="2670B28B">
            <w:pPr>
              <w:rPr>
                <w:i/>
                <w:iCs/>
              </w:rPr>
            </w:pPr>
          </w:p>
        </w:tc>
      </w:tr>
    </w:tbl>
    <w:p w:rsidR="00E66558" w:rsidRDefault="009D71E8" w14:paraId="2A7D54EB" w14:textId="77777777">
      <w:pPr>
        <w:pStyle w:val="Heading2"/>
        <w:spacing w:before="600"/>
      </w:pPr>
      <w:r>
        <w:lastRenderedPageBreak/>
        <w:t>Challenges</w:t>
      </w:r>
    </w:p>
    <w:p w:rsidR="00E66558" w:rsidP="00AA355B" w:rsidRDefault="009D71E8" w14:paraId="2A7D54EC" w14:textId="77777777">
      <w:r>
        <w:rPr>
          <w:bCs/>
        </w:rPr>
        <w:t>This details</w:t>
      </w:r>
      <w:r>
        <w:t xml:space="preserve"> the key</w:t>
      </w:r>
      <w:r>
        <w:rPr>
          <w:bCs/>
        </w:rPr>
        <w:t xml:space="preserve"> </w:t>
      </w:r>
      <w:r>
        <w:t xml:space="preserve">challenges to </w:t>
      </w:r>
      <w:r>
        <w:rPr>
          <w:bCs/>
        </w:rPr>
        <w:t>achievement that we have</w:t>
      </w:r>
      <w:r>
        <w:t xml:space="preserve"> identified among </w:t>
      </w:r>
      <w:r>
        <w:rPr>
          <w:bCs/>
        </w:rPr>
        <w:t>our</w:t>
      </w:r>
      <w:r>
        <w:t xml:space="preserve"> disadvantaged pupils.</w:t>
      </w:r>
    </w:p>
    <w:tbl>
      <w:tblPr>
        <w:tblW w:w="5000" w:type="pct"/>
        <w:tblCellMar>
          <w:left w:w="10" w:type="dxa"/>
          <w:right w:w="10" w:type="dxa"/>
        </w:tblCellMar>
        <w:tblLook w:val="04A0" w:firstRow="1" w:lastRow="0" w:firstColumn="1" w:lastColumn="0" w:noHBand="0" w:noVBand="1"/>
      </w:tblPr>
      <w:tblGrid>
        <w:gridCol w:w="1477"/>
        <w:gridCol w:w="8009"/>
      </w:tblGrid>
      <w:tr w:rsidR="00E66558" w:rsidTr="00CA4421" w14:paraId="2A7D54EF" w14:textId="77777777">
        <w:tc>
          <w:tcPr>
            <w:tcW w:w="1477" w:type="dxa"/>
            <w:tcBorders>
              <w:top w:val="single" w:color="000000" w:sz="4" w:space="0"/>
              <w:left w:val="single" w:color="000000" w:sz="4" w:space="0"/>
              <w:bottom w:val="single" w:color="000000" w:sz="4" w:space="0"/>
              <w:right w:val="single" w:color="000000" w:sz="4" w:space="0"/>
            </w:tcBorders>
            <w:shd w:val="clear" w:color="auto" w:fill="CFDCE3"/>
            <w:tcMar>
              <w:top w:w="0" w:type="dxa"/>
              <w:left w:w="108" w:type="dxa"/>
              <w:bottom w:w="0" w:type="dxa"/>
              <w:right w:w="108" w:type="dxa"/>
            </w:tcMar>
          </w:tcPr>
          <w:p w:rsidR="00E66558" w:rsidP="00C31636" w:rsidRDefault="009D71E8" w14:paraId="2A7D54ED" w14:textId="77777777">
            <w:pPr>
              <w:pStyle w:val="TableHeader"/>
              <w:ind w:left="0" w:right="0"/>
              <w:jc w:val="left"/>
            </w:pPr>
            <w:r>
              <w:t>Challenge number</w:t>
            </w:r>
          </w:p>
        </w:tc>
        <w:tc>
          <w:tcPr>
            <w:tcW w:w="8009" w:type="dxa"/>
            <w:tcBorders>
              <w:top w:val="single" w:color="000000" w:sz="4" w:space="0"/>
              <w:left w:val="single" w:color="000000" w:sz="4" w:space="0"/>
              <w:bottom w:val="single" w:color="000000" w:sz="4" w:space="0"/>
              <w:right w:val="single" w:color="000000" w:sz="4" w:space="0"/>
            </w:tcBorders>
            <w:shd w:val="clear" w:color="auto" w:fill="CFDCE3"/>
            <w:tcMar>
              <w:top w:w="0" w:type="dxa"/>
              <w:left w:w="108" w:type="dxa"/>
              <w:bottom w:w="0" w:type="dxa"/>
              <w:right w:w="108" w:type="dxa"/>
            </w:tcMar>
          </w:tcPr>
          <w:p w:rsidR="00E66558" w:rsidP="00C31636" w:rsidRDefault="009D71E8" w14:paraId="2A7D54EE" w14:textId="77777777">
            <w:pPr>
              <w:pStyle w:val="TableHeader"/>
              <w:ind w:left="0" w:right="0"/>
              <w:jc w:val="left"/>
            </w:pPr>
            <w:r>
              <w:t xml:space="preserve">Detail of challenge </w:t>
            </w:r>
          </w:p>
        </w:tc>
      </w:tr>
      <w:tr w:rsidR="0079564C" w14:paraId="2A7D54F2" w14:textId="77777777">
        <w:tc>
          <w:tcPr>
            <w:tcW w:w="14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79564C" w:rsidP="0079564C" w:rsidRDefault="0079564C" w14:paraId="2A7D54F0" w14:textId="77777777">
            <w:pPr>
              <w:pStyle w:val="TableRow"/>
              <w:ind w:left="0" w:right="0"/>
              <w:rPr>
                <w:sz w:val="22"/>
                <w:szCs w:val="22"/>
              </w:rPr>
            </w:pPr>
            <w:r>
              <w:rPr>
                <w:sz w:val="22"/>
                <w:szCs w:val="22"/>
              </w:rPr>
              <w:t>1</w:t>
            </w:r>
          </w:p>
        </w:tc>
        <w:tc>
          <w:tcPr>
            <w:tcW w:w="800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79564C" w:rsidP="0079564C" w:rsidRDefault="0079564C" w14:paraId="2A7D54F1" w14:textId="4CDF53DE">
            <w:pPr>
              <w:pStyle w:val="TableRowCentered"/>
              <w:ind w:left="0" w:right="0"/>
              <w:jc w:val="left"/>
            </w:pPr>
            <w:r w:rsidRPr="00C96A83">
              <w:t xml:space="preserve">Some disadvantaged pupils have gaps in prior learning, particularly in </w:t>
            </w:r>
            <w:r w:rsidR="004C0E9E">
              <w:t>R</w:t>
            </w:r>
            <w:r w:rsidRPr="00C96A83">
              <w:t xml:space="preserve">eading, </w:t>
            </w:r>
            <w:r w:rsidR="004C0E9E">
              <w:t>W</w:t>
            </w:r>
            <w:r w:rsidRPr="00C96A83">
              <w:t xml:space="preserve">riting and </w:t>
            </w:r>
            <w:r w:rsidR="004C0E9E">
              <w:t>M</w:t>
            </w:r>
            <w:r w:rsidRPr="00C96A83">
              <w:t>athematics.</w:t>
            </w:r>
          </w:p>
        </w:tc>
      </w:tr>
      <w:tr w:rsidR="0079564C" w14:paraId="2A7D54F5" w14:textId="77777777">
        <w:tc>
          <w:tcPr>
            <w:tcW w:w="14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79564C" w:rsidP="0079564C" w:rsidRDefault="0079564C" w14:paraId="2A7D54F3" w14:textId="77777777">
            <w:pPr>
              <w:pStyle w:val="TableRow"/>
              <w:ind w:left="0" w:right="0"/>
              <w:rPr>
                <w:sz w:val="22"/>
                <w:szCs w:val="22"/>
              </w:rPr>
            </w:pPr>
            <w:r>
              <w:rPr>
                <w:sz w:val="22"/>
                <w:szCs w:val="22"/>
              </w:rPr>
              <w:t>2</w:t>
            </w:r>
          </w:p>
        </w:tc>
        <w:tc>
          <w:tcPr>
            <w:tcW w:w="800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79564C" w:rsidP="0079564C" w:rsidRDefault="0079564C" w14:paraId="2A7D54F4" w14:textId="1DED8BEB">
            <w:pPr>
              <w:pStyle w:val="TableRowCentered"/>
              <w:ind w:left="0" w:right="0"/>
              <w:jc w:val="left"/>
              <w:rPr>
                <w:sz w:val="22"/>
                <w:szCs w:val="22"/>
              </w:rPr>
            </w:pPr>
            <w:r w:rsidRPr="00C96A83">
              <w:t>Some pupils benefit particularly from smaller teaching groups where misconceptions can be identified quickly and teaching closely matched to starting points.</w:t>
            </w:r>
          </w:p>
        </w:tc>
      </w:tr>
      <w:tr w:rsidR="0079564C" w14:paraId="2A7D54F8" w14:textId="77777777">
        <w:tc>
          <w:tcPr>
            <w:tcW w:w="14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79564C" w:rsidP="0079564C" w:rsidRDefault="0079564C" w14:paraId="2A7D54F6" w14:textId="77777777">
            <w:pPr>
              <w:pStyle w:val="TableRow"/>
              <w:ind w:left="0" w:right="0"/>
              <w:rPr>
                <w:sz w:val="22"/>
                <w:szCs w:val="22"/>
              </w:rPr>
            </w:pPr>
            <w:r>
              <w:rPr>
                <w:sz w:val="22"/>
                <w:szCs w:val="22"/>
              </w:rPr>
              <w:t>3</w:t>
            </w:r>
          </w:p>
        </w:tc>
        <w:tc>
          <w:tcPr>
            <w:tcW w:w="800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79564C" w:rsidP="0079564C" w:rsidRDefault="0079564C" w14:paraId="2A7D54F7" w14:textId="3D1D8832">
            <w:pPr>
              <w:pStyle w:val="TableRowCentered"/>
              <w:ind w:left="0" w:right="0"/>
              <w:jc w:val="left"/>
              <w:rPr>
                <w:sz w:val="22"/>
                <w:szCs w:val="22"/>
              </w:rPr>
            </w:pPr>
            <w:r w:rsidRPr="00C96A83">
              <w:t>Some disadvantaged pupils have lower attendance or are at risk of persistent absence.</w:t>
            </w:r>
          </w:p>
        </w:tc>
      </w:tr>
      <w:tr w:rsidR="0079564C" w14:paraId="2A7D54FB" w14:textId="77777777">
        <w:tc>
          <w:tcPr>
            <w:tcW w:w="14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79564C" w:rsidP="0079564C" w:rsidRDefault="0079564C" w14:paraId="2A7D54F9" w14:textId="77777777">
            <w:pPr>
              <w:pStyle w:val="TableRow"/>
              <w:ind w:left="0" w:right="0"/>
              <w:rPr>
                <w:sz w:val="22"/>
                <w:szCs w:val="22"/>
              </w:rPr>
            </w:pPr>
            <w:r>
              <w:rPr>
                <w:sz w:val="22"/>
                <w:szCs w:val="22"/>
              </w:rPr>
              <w:t>4</w:t>
            </w:r>
          </w:p>
        </w:tc>
        <w:tc>
          <w:tcPr>
            <w:tcW w:w="800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79564C" w:rsidP="0079564C" w:rsidRDefault="0079564C" w14:paraId="2A7D54FA" w14:textId="30FEB2A1">
            <w:pPr>
              <w:pStyle w:val="TableRowCentered"/>
              <w:ind w:left="0" w:right="0"/>
              <w:jc w:val="left"/>
              <w:rPr>
                <w:iCs/>
                <w:sz w:val="22"/>
              </w:rPr>
            </w:pPr>
            <w:r w:rsidRPr="00C96A83">
              <w:t>Some pupils have limited opportunities for regular reading, homework support and consolidation outside school.</w:t>
            </w:r>
          </w:p>
        </w:tc>
      </w:tr>
      <w:tr w:rsidR="0079564C" w14:paraId="2A7D54FE" w14:textId="77777777">
        <w:tc>
          <w:tcPr>
            <w:tcW w:w="14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79564C" w:rsidP="0079564C" w:rsidRDefault="0079564C" w14:paraId="2A7D54FC" w14:textId="77777777">
            <w:pPr>
              <w:pStyle w:val="TableRow"/>
              <w:ind w:left="0" w:right="0"/>
              <w:rPr>
                <w:sz w:val="22"/>
                <w:szCs w:val="22"/>
              </w:rPr>
            </w:pPr>
            <w:r>
              <w:rPr>
                <w:sz w:val="22"/>
                <w:szCs w:val="22"/>
              </w:rPr>
              <w:t>5</w:t>
            </w:r>
          </w:p>
        </w:tc>
        <w:tc>
          <w:tcPr>
            <w:tcW w:w="800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79564C" w:rsidP="0079564C" w:rsidRDefault="0079564C" w14:paraId="2A7D54FD" w14:textId="36179F28">
            <w:pPr>
              <w:pStyle w:val="TableRowCentered"/>
              <w:ind w:left="0" w:right="0"/>
              <w:jc w:val="left"/>
              <w:rPr>
                <w:iCs/>
                <w:sz w:val="22"/>
              </w:rPr>
            </w:pPr>
            <w:r w:rsidRPr="00C96A83">
              <w:t>Social, emotional, behavioural or family circumstances can affect confidence, regulation, concentration, relationships and readiness to learn.</w:t>
            </w:r>
          </w:p>
        </w:tc>
      </w:tr>
      <w:tr w:rsidR="0079564C" w14:paraId="3C781E8B" w14:textId="77777777">
        <w:tc>
          <w:tcPr>
            <w:tcW w:w="14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79564C" w:rsidP="0079564C" w:rsidRDefault="0079564C" w14:paraId="545B5D67" w14:textId="3BDAEB71">
            <w:pPr>
              <w:pStyle w:val="TableRow"/>
              <w:ind w:left="0" w:right="0"/>
              <w:rPr>
                <w:sz w:val="22"/>
                <w:szCs w:val="22"/>
              </w:rPr>
            </w:pPr>
            <w:r>
              <w:rPr>
                <w:sz w:val="22"/>
                <w:szCs w:val="22"/>
              </w:rPr>
              <w:t>6</w:t>
            </w:r>
          </w:p>
        </w:tc>
        <w:tc>
          <w:tcPr>
            <w:tcW w:w="800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79564C" w:rsidP="0079564C" w:rsidRDefault="0079564C" w14:paraId="501B2570" w14:textId="4341A51C">
            <w:pPr>
              <w:pStyle w:val="TableRowCentered"/>
              <w:ind w:left="0" w:right="0"/>
              <w:jc w:val="left"/>
              <w:rPr>
                <w:iCs/>
                <w:sz w:val="22"/>
              </w:rPr>
            </w:pPr>
            <w:r w:rsidRPr="00C96A83">
              <w:t>Financial circumstances can restrict access to clubs, educational visits and residential experiences.</w:t>
            </w:r>
          </w:p>
        </w:tc>
      </w:tr>
      <w:tr w:rsidR="0079564C" w14:paraId="265A781B" w14:textId="77777777">
        <w:tc>
          <w:tcPr>
            <w:tcW w:w="14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79564C" w:rsidP="0079564C" w:rsidRDefault="0079564C" w14:paraId="24DE230C" w14:textId="588715D5">
            <w:pPr>
              <w:pStyle w:val="TableRow"/>
              <w:ind w:left="0" w:right="0"/>
              <w:rPr>
                <w:sz w:val="22"/>
                <w:szCs w:val="22"/>
              </w:rPr>
            </w:pPr>
            <w:r>
              <w:rPr>
                <w:sz w:val="22"/>
                <w:szCs w:val="22"/>
              </w:rPr>
              <w:t>7</w:t>
            </w:r>
          </w:p>
        </w:tc>
        <w:tc>
          <w:tcPr>
            <w:tcW w:w="800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79564C" w:rsidP="0079564C" w:rsidRDefault="0079564C" w14:paraId="78F33C3A" w14:textId="48680C5F">
            <w:pPr>
              <w:pStyle w:val="TableRowCentered"/>
              <w:ind w:left="0" w:right="0"/>
              <w:jc w:val="left"/>
              <w:rPr>
                <w:iCs/>
                <w:sz w:val="22"/>
              </w:rPr>
            </w:pPr>
            <w:r w:rsidRPr="00C96A83">
              <w:t>Mobility or changes of school can result in disrupted learning and curriculum gaps.</w:t>
            </w:r>
          </w:p>
        </w:tc>
      </w:tr>
      <w:tr w:rsidR="0079564C" w14:paraId="497D93E8" w14:textId="77777777">
        <w:tc>
          <w:tcPr>
            <w:tcW w:w="14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79564C" w:rsidP="0079564C" w:rsidRDefault="0079564C" w14:paraId="77BE612C" w14:textId="515D66AB">
            <w:pPr>
              <w:pStyle w:val="TableRow"/>
              <w:ind w:left="0" w:right="0"/>
              <w:rPr>
                <w:sz w:val="22"/>
                <w:szCs w:val="22"/>
              </w:rPr>
            </w:pPr>
            <w:r>
              <w:rPr>
                <w:sz w:val="22"/>
                <w:szCs w:val="22"/>
              </w:rPr>
              <w:t>8</w:t>
            </w:r>
          </w:p>
        </w:tc>
        <w:tc>
          <w:tcPr>
            <w:tcW w:w="800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79564C" w:rsidP="0079564C" w:rsidRDefault="0079564C" w14:paraId="5DA2CC1E" w14:textId="5AAF7340">
            <w:pPr>
              <w:pStyle w:val="TableRowCentered"/>
              <w:ind w:left="0" w:right="0"/>
              <w:jc w:val="left"/>
              <w:rPr>
                <w:iCs/>
                <w:sz w:val="22"/>
              </w:rPr>
            </w:pPr>
            <w:r w:rsidRPr="00C96A83">
              <w:t>Some pupils require additional support to develop confidence, independence, resilience and high aspirations.</w:t>
            </w:r>
          </w:p>
        </w:tc>
      </w:tr>
    </w:tbl>
    <w:p w:rsidR="00E66558" w:rsidRDefault="009D71E8" w14:paraId="2A7D54FF" w14:textId="77777777">
      <w:pPr>
        <w:pStyle w:val="Heading2"/>
        <w:spacing w:before="600"/>
      </w:pPr>
      <w:bookmarkStart w:name="_Toc443397160" w:id="16"/>
      <w:r>
        <w:t xml:space="preserve">Intended </w:t>
      </w:r>
      <w:r w:rsidRPr="00A968DA">
        <w:t>outcomes</w:t>
      </w:r>
      <w:r>
        <w:t xml:space="preserve"> </w:t>
      </w:r>
    </w:p>
    <w:p w:rsidR="00E66558" w:rsidRDefault="009D71E8" w14:paraId="2A7D5500" w14:textId="77777777">
      <w:r>
        <w:rPr>
          <w:color w:val="auto"/>
        </w:rPr>
        <w:t xml:space="preserve">This explains the outcomes we are aiming for </w:t>
      </w:r>
      <w:r>
        <w:rPr>
          <w:b/>
          <w:bCs/>
          <w:color w:val="auto"/>
        </w:rPr>
        <w:t>by the end of our current strategy plan</w:t>
      </w:r>
      <w:r>
        <w:rPr>
          <w:color w:val="auto"/>
        </w:rPr>
        <w:t>, and how we will measure whether they have been achieved.</w:t>
      </w:r>
    </w:p>
    <w:tbl>
      <w:tblPr>
        <w:tblW w:w="5000" w:type="pct"/>
        <w:tblCellMar>
          <w:left w:w="10" w:type="dxa"/>
          <w:right w:w="10" w:type="dxa"/>
        </w:tblCellMar>
        <w:tblLook w:val="04A0" w:firstRow="1" w:lastRow="0" w:firstColumn="1" w:lastColumn="0" w:noHBand="0" w:noVBand="1"/>
      </w:tblPr>
      <w:tblGrid>
        <w:gridCol w:w="4815"/>
        <w:gridCol w:w="4671"/>
      </w:tblGrid>
      <w:tr w:rsidR="00E66558" w:rsidTr="00CA4421" w14:paraId="2A7D5503" w14:textId="77777777">
        <w:tc>
          <w:tcPr>
            <w:tcW w:w="4815" w:type="dxa"/>
            <w:tcBorders>
              <w:top w:val="single" w:color="000000" w:sz="4" w:space="0"/>
              <w:left w:val="single" w:color="000000" w:sz="4" w:space="0"/>
              <w:bottom w:val="single" w:color="000000" w:sz="4" w:space="0"/>
              <w:right w:val="single" w:color="000000" w:sz="4" w:space="0"/>
            </w:tcBorders>
            <w:shd w:val="clear" w:color="auto" w:fill="CFDCE3"/>
            <w:tcMar>
              <w:top w:w="0" w:type="dxa"/>
              <w:left w:w="108" w:type="dxa"/>
              <w:bottom w:w="0" w:type="dxa"/>
              <w:right w:w="108" w:type="dxa"/>
            </w:tcMar>
          </w:tcPr>
          <w:p w:rsidR="00E66558" w:rsidP="00C31636" w:rsidRDefault="009D71E8" w14:paraId="2A7D5501" w14:textId="77777777">
            <w:pPr>
              <w:pStyle w:val="TableHeader"/>
              <w:ind w:left="0" w:right="0"/>
              <w:jc w:val="left"/>
            </w:pPr>
            <w:r>
              <w:lastRenderedPageBreak/>
              <w:t>Intended outcome</w:t>
            </w:r>
          </w:p>
        </w:tc>
        <w:tc>
          <w:tcPr>
            <w:tcW w:w="4671" w:type="dxa"/>
            <w:tcBorders>
              <w:top w:val="single" w:color="000000" w:sz="4" w:space="0"/>
              <w:left w:val="single" w:color="000000" w:sz="4" w:space="0"/>
              <w:bottom w:val="single" w:color="000000" w:sz="4" w:space="0"/>
              <w:right w:val="single" w:color="000000" w:sz="4" w:space="0"/>
            </w:tcBorders>
            <w:shd w:val="clear" w:color="auto" w:fill="CFDCE3"/>
            <w:tcMar>
              <w:top w:w="0" w:type="dxa"/>
              <w:left w:w="108" w:type="dxa"/>
              <w:bottom w:w="0" w:type="dxa"/>
              <w:right w:w="108" w:type="dxa"/>
            </w:tcMar>
          </w:tcPr>
          <w:p w:rsidR="00E66558" w:rsidP="00C31636" w:rsidRDefault="009D71E8" w14:paraId="2A7D5502" w14:textId="77777777">
            <w:pPr>
              <w:pStyle w:val="TableHeader"/>
              <w:ind w:left="0" w:right="0"/>
              <w:jc w:val="left"/>
            </w:pPr>
            <w:r>
              <w:t>Success criteria</w:t>
            </w:r>
          </w:p>
        </w:tc>
      </w:tr>
      <w:tr w:rsidR="004C0E9E" w14:paraId="2A7D5506" w14:textId="77777777">
        <w:tc>
          <w:tcPr>
            <w:tcW w:w="481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4C0E9E" w:rsidP="004C0E9E" w:rsidRDefault="004C0E9E" w14:paraId="2A7D5504" w14:textId="6449FF5B">
            <w:pPr>
              <w:pStyle w:val="TableRow"/>
              <w:ind w:left="0" w:right="0"/>
            </w:pPr>
            <w:r w:rsidRPr="00500FEC">
              <w:t>Improved attainment and progress</w:t>
            </w:r>
          </w:p>
        </w:tc>
        <w:tc>
          <w:tcPr>
            <w:tcW w:w="467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4C0E9E" w:rsidP="004C0E9E" w:rsidRDefault="004C0E9E" w14:paraId="2A7D5505" w14:textId="05D6437E">
            <w:pPr>
              <w:pStyle w:val="TableRowCentered"/>
              <w:ind w:left="0" w:right="0"/>
              <w:jc w:val="left"/>
              <w:rPr>
                <w:sz w:val="22"/>
                <w:szCs w:val="22"/>
              </w:rPr>
            </w:pPr>
            <w:r w:rsidRPr="00500FEC">
              <w:t>Disadvantaged pupils make strong progress from individual starting points and the proportion achieving age-related expectations increases.</w:t>
            </w:r>
          </w:p>
        </w:tc>
      </w:tr>
      <w:tr w:rsidR="004C0E9E" w14:paraId="2A7D5509" w14:textId="77777777">
        <w:tc>
          <w:tcPr>
            <w:tcW w:w="481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4C0E9E" w:rsidP="004C0E9E" w:rsidRDefault="004C0E9E" w14:paraId="2A7D5507" w14:textId="07E7EECD">
            <w:pPr>
              <w:pStyle w:val="TableRow"/>
              <w:ind w:left="0" w:right="0"/>
              <w:rPr>
                <w:sz w:val="22"/>
                <w:szCs w:val="22"/>
              </w:rPr>
            </w:pPr>
            <w:r w:rsidRPr="00500FEC">
              <w:t>High-quality responsive teaching</w:t>
            </w:r>
          </w:p>
        </w:tc>
        <w:tc>
          <w:tcPr>
            <w:tcW w:w="467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4C0E9E" w:rsidP="004C0E9E" w:rsidRDefault="004C0E9E" w14:paraId="2A7D5508" w14:textId="67C0E086">
            <w:pPr>
              <w:pStyle w:val="TableRowCentered"/>
              <w:ind w:left="0" w:right="0"/>
              <w:jc w:val="left"/>
              <w:rPr>
                <w:sz w:val="22"/>
                <w:szCs w:val="22"/>
              </w:rPr>
            </w:pPr>
            <w:r w:rsidRPr="00500FEC">
              <w:t>Monitoring demonstrates that the 15-pupil model improves teacher responsiveness, feedback, questioning, support and challenge.</w:t>
            </w:r>
          </w:p>
        </w:tc>
      </w:tr>
      <w:tr w:rsidR="004C0E9E" w14:paraId="2A7D550C" w14:textId="77777777">
        <w:tc>
          <w:tcPr>
            <w:tcW w:w="481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4C0E9E" w:rsidP="004C0E9E" w:rsidRDefault="004C0E9E" w14:paraId="2A7D550A" w14:textId="6D725B67">
            <w:pPr>
              <w:pStyle w:val="TableRow"/>
              <w:ind w:left="0" w:right="0"/>
              <w:rPr>
                <w:sz w:val="22"/>
                <w:szCs w:val="22"/>
              </w:rPr>
            </w:pPr>
            <w:r w:rsidRPr="00500FEC">
              <w:t>Reduced gaps in learning</w:t>
            </w:r>
          </w:p>
        </w:tc>
        <w:tc>
          <w:tcPr>
            <w:tcW w:w="467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4C0E9E" w:rsidP="004C0E9E" w:rsidRDefault="004C0E9E" w14:paraId="2A7D550B" w14:textId="57297FBE">
            <w:pPr>
              <w:pStyle w:val="TableRowCentered"/>
              <w:ind w:left="0" w:right="0"/>
              <w:jc w:val="left"/>
              <w:rPr>
                <w:sz w:val="22"/>
                <w:szCs w:val="22"/>
              </w:rPr>
            </w:pPr>
            <w:r w:rsidRPr="00500FEC">
              <w:t>Identified gaps in reading, writing and mathematics reduce through classroom teaching and targeted intervention.</w:t>
            </w:r>
          </w:p>
        </w:tc>
      </w:tr>
      <w:tr w:rsidR="004C0E9E" w14:paraId="2A7D550F" w14:textId="77777777">
        <w:tc>
          <w:tcPr>
            <w:tcW w:w="481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4C0E9E" w:rsidP="004C0E9E" w:rsidRDefault="004C0E9E" w14:paraId="2A7D550D" w14:textId="6E1689A4">
            <w:pPr>
              <w:pStyle w:val="TableRow"/>
              <w:ind w:left="0" w:right="0"/>
              <w:rPr>
                <w:sz w:val="22"/>
                <w:szCs w:val="22"/>
              </w:rPr>
            </w:pPr>
            <w:r w:rsidRPr="00500FEC">
              <w:t>Improved attendance</w:t>
            </w:r>
          </w:p>
        </w:tc>
        <w:tc>
          <w:tcPr>
            <w:tcW w:w="467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4C0E9E" w:rsidP="004C0E9E" w:rsidRDefault="004C0E9E" w14:paraId="2A7D550E" w14:textId="71AB4ED0">
            <w:pPr>
              <w:pStyle w:val="TableRowCentered"/>
              <w:ind w:left="0" w:right="0"/>
              <w:jc w:val="left"/>
              <w:rPr>
                <w:sz w:val="22"/>
                <w:szCs w:val="22"/>
              </w:rPr>
            </w:pPr>
            <w:r w:rsidRPr="00500FEC">
              <w:t>Attendance improves towards the school target and persistent absence reduces.</w:t>
            </w:r>
          </w:p>
        </w:tc>
      </w:tr>
      <w:tr w:rsidR="004C0E9E" w14:paraId="29B47DE8" w14:textId="77777777">
        <w:tc>
          <w:tcPr>
            <w:tcW w:w="481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4C0E9E" w:rsidP="004C0E9E" w:rsidRDefault="004C0E9E" w14:paraId="4DEB4915" w14:textId="53FB73AD">
            <w:pPr>
              <w:pStyle w:val="TableRow"/>
              <w:ind w:left="0" w:right="0"/>
              <w:rPr>
                <w:sz w:val="22"/>
                <w:szCs w:val="22"/>
              </w:rPr>
            </w:pPr>
            <w:r w:rsidRPr="00500FEC">
              <w:t>Improved wellbeing and readiness to learn</w:t>
            </w:r>
          </w:p>
        </w:tc>
        <w:tc>
          <w:tcPr>
            <w:tcW w:w="467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4C0E9E" w:rsidP="004C0E9E" w:rsidRDefault="004C0E9E" w14:paraId="565F866A" w14:textId="7091A643">
            <w:pPr>
              <w:pStyle w:val="TableRowCentered"/>
              <w:ind w:left="0" w:right="0"/>
              <w:jc w:val="left"/>
              <w:rPr>
                <w:sz w:val="22"/>
                <w:szCs w:val="22"/>
              </w:rPr>
            </w:pPr>
            <w:r w:rsidRPr="00500FEC">
              <w:t>Pupils receiving support demonstrate improved confidence, engagement, regulation and participation.</w:t>
            </w:r>
          </w:p>
        </w:tc>
      </w:tr>
      <w:tr w:rsidR="004C0E9E" w14:paraId="293BFBFB" w14:textId="77777777">
        <w:tc>
          <w:tcPr>
            <w:tcW w:w="481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4C0E9E" w:rsidP="004C0E9E" w:rsidRDefault="004C0E9E" w14:paraId="49F19C43" w14:textId="1EA44031">
            <w:pPr>
              <w:pStyle w:val="TableRow"/>
              <w:ind w:left="0" w:right="0"/>
              <w:rPr>
                <w:sz w:val="22"/>
                <w:szCs w:val="22"/>
              </w:rPr>
            </w:pPr>
            <w:r w:rsidRPr="00500FEC">
              <w:t>Equitable access to enrichment</w:t>
            </w:r>
          </w:p>
        </w:tc>
        <w:tc>
          <w:tcPr>
            <w:tcW w:w="467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4C0E9E" w:rsidP="004C0E9E" w:rsidRDefault="004C0E9E" w14:paraId="550483AA" w14:textId="1E3F685A">
            <w:pPr>
              <w:pStyle w:val="TableRowCentered"/>
              <w:ind w:left="0" w:right="0"/>
              <w:jc w:val="left"/>
              <w:rPr>
                <w:sz w:val="22"/>
                <w:szCs w:val="22"/>
              </w:rPr>
            </w:pPr>
            <w:r w:rsidRPr="00500FEC">
              <w:t>Financial disadvantage does not prevent participation in clubs, trips or residential experiences.</w:t>
            </w:r>
          </w:p>
        </w:tc>
      </w:tr>
      <w:tr w:rsidR="004C0E9E" w14:paraId="78E407B4" w14:textId="77777777">
        <w:tc>
          <w:tcPr>
            <w:tcW w:w="481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4C0E9E" w:rsidP="004C0E9E" w:rsidRDefault="004C0E9E" w14:paraId="7D3EA33F" w14:textId="0193024A">
            <w:pPr>
              <w:pStyle w:val="TableRow"/>
              <w:ind w:left="0" w:right="0"/>
              <w:rPr>
                <w:sz w:val="22"/>
                <w:szCs w:val="22"/>
              </w:rPr>
            </w:pPr>
            <w:r w:rsidRPr="00500FEC">
              <w:t>Raised aspirations</w:t>
            </w:r>
          </w:p>
        </w:tc>
        <w:tc>
          <w:tcPr>
            <w:tcW w:w="467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4C0E9E" w:rsidP="004C0E9E" w:rsidRDefault="004C0E9E" w14:paraId="6709AAA2" w14:textId="7FCB9032">
            <w:pPr>
              <w:pStyle w:val="TableRowCentered"/>
              <w:ind w:left="0" w:right="0"/>
              <w:jc w:val="left"/>
              <w:rPr>
                <w:sz w:val="22"/>
                <w:szCs w:val="22"/>
              </w:rPr>
            </w:pPr>
            <w:r w:rsidRPr="00500FEC">
              <w:t>Disadvantaged pupils participate fully in enrichment and demonstrate increasing confidence, independence and aspiration.</w:t>
            </w:r>
          </w:p>
        </w:tc>
      </w:tr>
    </w:tbl>
    <w:p w:rsidR="00120AB1" w:rsidP="00ED5108" w:rsidRDefault="00120AB1" w14:paraId="60BAD9F6" w14:textId="77777777"/>
    <w:p w:rsidR="00E66558" w:rsidRDefault="009D71E8" w14:paraId="2A7D5512" w14:textId="5BA923E1">
      <w:pPr>
        <w:pStyle w:val="Heading2"/>
      </w:pPr>
      <w:r>
        <w:t>Activity in this academic year</w:t>
      </w:r>
      <w:r w:rsidR="004C0E9E">
        <w:t>|:2025-2026</w:t>
      </w:r>
    </w:p>
    <w:p w:rsidR="00E66558" w:rsidRDefault="009D71E8" w14:paraId="2A7D5513" w14:textId="20453EFC">
      <w:pPr>
        <w:spacing w:after="480"/>
      </w:pPr>
      <w:r>
        <w:t xml:space="preserve">This details how we intend to spend our pupil </w:t>
      </w:r>
      <w:r w:rsidRPr="00FD406D">
        <w:t>premium funding</w:t>
      </w:r>
      <w:r>
        <w:t xml:space="preserve"> </w:t>
      </w:r>
      <w:r>
        <w:rPr>
          <w:b/>
          <w:bCs/>
        </w:rPr>
        <w:t>this academic year</w:t>
      </w:r>
      <w:r>
        <w:t xml:space="preserve"> to address the challenges listed above.</w:t>
      </w:r>
    </w:p>
    <w:p w:rsidR="00E66558" w:rsidRDefault="004C0E9E" w14:paraId="2A7D5514" w14:textId="71BB119B">
      <w:pPr>
        <w:pStyle w:val="Heading3"/>
      </w:pPr>
      <w:r>
        <w:t xml:space="preserve">High-quality </w:t>
      </w:r>
      <w:r w:rsidR="009D71E8">
        <w:t xml:space="preserve">Teaching </w:t>
      </w:r>
    </w:p>
    <w:p w:rsidR="00ED666B" w:rsidRDefault="009D71E8" w14:paraId="7F16EBFC" w14:textId="77777777">
      <w:r>
        <w:t>Budgeted cost: £</w:t>
      </w:r>
      <w:r w:rsidR="00ED666B">
        <w:t xml:space="preserve">40,000 </w:t>
      </w:r>
    </w:p>
    <w:p w:rsidR="00E66558" w:rsidRDefault="00ED666B" w14:paraId="2A7D5515" w14:textId="3752D089">
      <w:pPr>
        <w:rPr>
          <w:i/>
          <w:iCs/>
        </w:rPr>
      </w:pPr>
      <w:r>
        <w:t>(</w:t>
      </w:r>
      <w:r w:rsidRPr="00ED666B">
        <w:t>Additional qualified teacher capacity – English and Mathematics / 15-pupil model</w:t>
      </w:r>
    </w:p>
    <w:p w:rsidR="004C0E9E" w:rsidP="004C0E9E" w:rsidRDefault="004C0E9E" w14:paraId="07CFFC33" w14:textId="77777777">
      <w:r>
        <w:t>The principal teaching strategy is to use Pupil Premium funding to support additional qualified teacher capacity, enabling year groups to be split for English and Mathematics. Where cohort organisation permits, pupils are taught in groups of approximately 15 by a qualified teacher.</w:t>
      </w:r>
    </w:p>
    <w:p w:rsidR="004C0E9E" w:rsidP="004C0E9E" w:rsidRDefault="004C0E9E" w14:paraId="46005082" w14:textId="77777777">
      <w:r>
        <w:t>The school will review grouping arrangements regularly so that the model remains responsive to cohort need.</w:t>
      </w:r>
    </w:p>
    <w:p w:rsidR="004C0E9E" w:rsidRDefault="004C0E9E" w14:paraId="6F4A1336" w14:textId="77777777"/>
    <w:tbl>
      <w:tblPr>
        <w:tblW w:w="5000" w:type="pct"/>
        <w:tblCellMar>
          <w:left w:w="10" w:type="dxa"/>
          <w:right w:w="10" w:type="dxa"/>
        </w:tblCellMar>
        <w:tblLook w:val="04A0" w:firstRow="1" w:lastRow="0" w:firstColumn="1" w:lastColumn="0" w:noHBand="0" w:noVBand="1"/>
      </w:tblPr>
      <w:tblGrid>
        <w:gridCol w:w="2688"/>
        <w:gridCol w:w="5104"/>
        <w:gridCol w:w="1694"/>
      </w:tblGrid>
      <w:tr w:rsidR="00E66558" w:rsidTr="00C95AB6" w14:paraId="2A7D5519" w14:textId="77777777">
        <w:tc>
          <w:tcPr>
            <w:tcW w:w="2688" w:type="dxa"/>
            <w:tcBorders>
              <w:top w:val="single" w:color="000000" w:sz="4" w:space="0"/>
              <w:left w:val="single" w:color="000000" w:sz="4" w:space="0"/>
              <w:bottom w:val="single" w:color="000000" w:sz="4" w:space="0"/>
              <w:right w:val="single" w:color="000000" w:sz="4" w:space="0"/>
            </w:tcBorders>
            <w:shd w:val="clear" w:color="auto" w:fill="CFDCE3"/>
            <w:tcMar>
              <w:top w:w="0" w:type="dxa"/>
              <w:left w:w="108" w:type="dxa"/>
              <w:bottom w:w="0" w:type="dxa"/>
              <w:right w:w="108" w:type="dxa"/>
            </w:tcMar>
          </w:tcPr>
          <w:p w:rsidR="00E66558" w:rsidP="00C31636" w:rsidRDefault="009D71E8" w14:paraId="2A7D5516" w14:textId="77777777">
            <w:pPr>
              <w:pStyle w:val="TableHeader"/>
              <w:ind w:left="0" w:right="0"/>
              <w:jc w:val="left"/>
            </w:pPr>
            <w:r>
              <w:lastRenderedPageBreak/>
              <w:t>Activity</w:t>
            </w:r>
          </w:p>
        </w:tc>
        <w:tc>
          <w:tcPr>
            <w:tcW w:w="5104" w:type="dxa"/>
            <w:tcBorders>
              <w:top w:val="single" w:color="000000" w:sz="4" w:space="0"/>
              <w:left w:val="single" w:color="000000" w:sz="4" w:space="0"/>
              <w:bottom w:val="single" w:color="000000" w:sz="4" w:space="0"/>
              <w:right w:val="single" w:color="000000" w:sz="4" w:space="0"/>
            </w:tcBorders>
            <w:shd w:val="clear" w:color="auto" w:fill="CFDCE3"/>
            <w:tcMar>
              <w:top w:w="0" w:type="dxa"/>
              <w:left w:w="108" w:type="dxa"/>
              <w:bottom w:w="0" w:type="dxa"/>
              <w:right w:w="108" w:type="dxa"/>
            </w:tcMar>
          </w:tcPr>
          <w:p w:rsidR="00E66558" w:rsidP="00C31636" w:rsidRDefault="009D71E8" w14:paraId="2A7D5517" w14:textId="77777777">
            <w:pPr>
              <w:pStyle w:val="TableHeader"/>
              <w:ind w:left="0" w:right="0"/>
              <w:jc w:val="left"/>
            </w:pPr>
            <w:r>
              <w:t>Evidence that supports this approach</w:t>
            </w:r>
          </w:p>
        </w:tc>
        <w:tc>
          <w:tcPr>
            <w:tcW w:w="1694" w:type="dxa"/>
            <w:tcBorders>
              <w:top w:val="single" w:color="000000" w:sz="4" w:space="0"/>
              <w:left w:val="single" w:color="000000" w:sz="4" w:space="0"/>
              <w:bottom w:val="single" w:color="000000" w:sz="4" w:space="0"/>
              <w:right w:val="single" w:color="000000" w:sz="4" w:space="0"/>
            </w:tcBorders>
            <w:shd w:val="clear" w:color="auto" w:fill="CFDCE3"/>
            <w:tcMar>
              <w:top w:w="0" w:type="dxa"/>
              <w:left w:w="108" w:type="dxa"/>
              <w:bottom w:w="0" w:type="dxa"/>
              <w:right w:w="108" w:type="dxa"/>
            </w:tcMar>
          </w:tcPr>
          <w:p w:rsidR="00E66558" w:rsidP="00C31636" w:rsidRDefault="009D71E8" w14:paraId="2A7D5518" w14:textId="77777777">
            <w:pPr>
              <w:pStyle w:val="TableHeader"/>
              <w:ind w:left="0" w:right="0"/>
              <w:jc w:val="left"/>
            </w:pPr>
            <w:r>
              <w:t>Challenge number(s) addressed</w:t>
            </w:r>
          </w:p>
        </w:tc>
      </w:tr>
      <w:tr w:rsidR="00E66558" w:rsidTr="00C95AB6" w14:paraId="2A7D551D" w14:textId="77777777">
        <w:tc>
          <w:tcPr>
            <w:tcW w:w="268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E66558" w:rsidP="00C31636" w:rsidRDefault="00C95AB6" w14:paraId="2A7D551A" w14:textId="17E2178C">
            <w:pPr>
              <w:pStyle w:val="TableRow"/>
              <w:ind w:left="0" w:right="0"/>
            </w:pPr>
            <w:r w:rsidRPr="00C95AB6">
              <w:rPr>
                <w:b/>
                <w:bCs/>
                <w:i/>
                <w:iCs/>
                <w:sz w:val="22"/>
                <w:szCs w:val="22"/>
              </w:rPr>
              <w:t>Additional qualified teacher capacity – 15-pupil model</w:t>
            </w:r>
            <w:r w:rsidRPr="00C95AB6">
              <w:rPr>
                <w:i/>
                <w:iCs/>
                <w:sz w:val="22"/>
                <w:szCs w:val="22"/>
              </w:rPr>
              <w:t>. Pupil Premium funding is used to provide additional qualified teacher capacity so that year groups can be split for English and Mathematics. Where cohort organisation permits, pupils are taught in groups of approximately 15 by a qualified teacher. The smaller groups allow teachers to provide more individualised and responsive teaching, with increased opportunities for questioning, participation, feedback and assessment.</w:t>
            </w:r>
          </w:p>
        </w:tc>
        <w:tc>
          <w:tcPr>
            <w:tcW w:w="51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E66558" w:rsidP="00C31636" w:rsidRDefault="00C95AB6" w14:paraId="2A7D551B" w14:textId="339CCBB0">
            <w:pPr>
              <w:pStyle w:val="TableRowCentered"/>
              <w:ind w:left="0" w:right="0"/>
              <w:jc w:val="left"/>
              <w:rPr>
                <w:sz w:val="22"/>
              </w:rPr>
            </w:pPr>
            <w:r w:rsidRPr="00C95AB6">
              <w:rPr>
                <w:b/>
                <w:bCs/>
                <w:sz w:val="22"/>
              </w:rPr>
              <w:t>The Education Endowment Foundation (EEF) identifies high-quality teaching as the most important element of an effective Pupil Premium strategy.</w:t>
            </w:r>
            <w:r w:rsidRPr="00C95AB6">
              <w:rPr>
                <w:sz w:val="22"/>
              </w:rPr>
              <w:t xml:space="preserve"> Evidence-informed approaches including explicit instruction, scaffolding, formative assessment, feedback, metacognition and responsive teaching are more readily implemented when teachers have sufficient opportunity to know pupils well and respond to their individual needs. Culcheth's own experience also provides evidence for continuing this approach. The school's previous Pupil Premium report recorded that additional teacher support enabled KS2 classes to be split for English and Mathematics, resulting in a very low teacher-to-pupil ratio and allowing teachers to provide tailored learning experiences at pupils' individual levels. In the 2025 outcomes, </w:t>
            </w:r>
            <w:r w:rsidRPr="00C95AB6">
              <w:rPr>
                <w:b/>
                <w:bCs/>
                <w:sz w:val="22"/>
              </w:rPr>
              <w:t>100% of Year 6 Pupil Premium pupils achieved the expected standard in reading and mathematics</w:t>
            </w:r>
            <w:r w:rsidRPr="00C95AB6">
              <w:rPr>
                <w:sz w:val="22"/>
              </w:rPr>
              <w:t xml:space="preserve">, with </w:t>
            </w:r>
            <w:r w:rsidRPr="00C95AB6">
              <w:rPr>
                <w:b/>
                <w:bCs/>
                <w:sz w:val="22"/>
              </w:rPr>
              <w:t>83% achieving greater depth in reading and 50% achieving greater depth in mathematics</w:t>
            </w:r>
            <w:r w:rsidRPr="00C95AB6">
              <w:rPr>
                <w:sz w:val="22"/>
              </w:rPr>
              <w:t xml:space="preserve">; </w:t>
            </w:r>
            <w:r w:rsidRPr="00C95AB6">
              <w:rPr>
                <w:b/>
                <w:bCs/>
                <w:sz w:val="22"/>
              </w:rPr>
              <w:t>83% achieved the expected standard in writing</w:t>
            </w:r>
            <w:r w:rsidRPr="00C95AB6">
              <w:rPr>
                <w:sz w:val="22"/>
              </w:rPr>
              <w:t xml:space="preserve">. In Year 1, </w:t>
            </w:r>
            <w:r w:rsidRPr="00C95AB6">
              <w:rPr>
                <w:b/>
                <w:bCs/>
                <w:sz w:val="22"/>
              </w:rPr>
              <w:t>100% of Pupil Premium pupils achieved the expected standard in phonics</w:t>
            </w:r>
            <w:r w:rsidRPr="00C95AB6">
              <w:rPr>
                <w:sz w:val="22"/>
              </w:rPr>
              <w:t>. These outcomes provide school-level evidence supporting the continuation of additional teacher capacity and responsive teaching.</w:t>
            </w:r>
          </w:p>
        </w:tc>
        <w:tc>
          <w:tcPr>
            <w:tcW w:w="16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E66558" w:rsidP="00C31636" w:rsidRDefault="00C95AB6" w14:paraId="2A7D551C" w14:textId="09CC1FCF">
            <w:pPr>
              <w:pStyle w:val="TableRowCentered"/>
              <w:ind w:left="0" w:right="0"/>
              <w:jc w:val="left"/>
              <w:rPr>
                <w:sz w:val="22"/>
              </w:rPr>
            </w:pPr>
            <w:r w:rsidRPr="00C95AB6">
              <w:rPr>
                <w:sz w:val="22"/>
              </w:rPr>
              <w:t>1, 2, 4, 7 and 8</w:t>
            </w:r>
          </w:p>
        </w:tc>
      </w:tr>
      <w:tr w:rsidR="00E66558" w:rsidTr="00C95AB6" w14:paraId="2A7D5521" w14:textId="77777777">
        <w:tc>
          <w:tcPr>
            <w:tcW w:w="268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E66558" w:rsidP="00C31636" w:rsidRDefault="00C95AB6" w14:paraId="2A7D551E" w14:textId="3C4CF621">
            <w:pPr>
              <w:pStyle w:val="TableRow"/>
              <w:ind w:left="0" w:right="0"/>
              <w:rPr>
                <w:i/>
                <w:sz w:val="22"/>
              </w:rPr>
            </w:pPr>
            <w:r w:rsidRPr="00C95AB6">
              <w:rPr>
                <w:b/>
                <w:bCs/>
                <w:i/>
                <w:sz w:val="22"/>
              </w:rPr>
              <w:t>Rapid identification of misconceptions and gaps</w:t>
            </w:r>
            <w:r w:rsidRPr="00C95AB6">
              <w:rPr>
                <w:i/>
                <w:sz w:val="22"/>
              </w:rPr>
              <w:t xml:space="preserve"> through ongoing formative assessment and close teacher observation within smaller teaching groups</w:t>
            </w:r>
          </w:p>
        </w:tc>
        <w:tc>
          <w:tcPr>
            <w:tcW w:w="51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E66558" w:rsidP="00C31636" w:rsidRDefault="00C95AB6" w14:paraId="2A7D551F" w14:textId="557EFE0E">
            <w:pPr>
              <w:pStyle w:val="TableRowCentered"/>
              <w:ind w:left="0" w:right="0"/>
              <w:jc w:val="left"/>
              <w:rPr>
                <w:sz w:val="22"/>
              </w:rPr>
            </w:pPr>
            <w:r w:rsidRPr="00C95AB6">
              <w:rPr>
                <w:sz w:val="22"/>
              </w:rPr>
              <w:t>Smaller teaching groups increase opportunities for teachers to check understanding, question individual pupils and identify misconceptions during lessons. This enables teachers to adapt instruction promptly rather than allowing gaps to become embedded. This directly supports the school's identified barrier of gaps in prior learning.</w:t>
            </w:r>
          </w:p>
        </w:tc>
        <w:tc>
          <w:tcPr>
            <w:tcW w:w="16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E66558" w:rsidP="00C31636" w:rsidRDefault="00C95AB6" w14:paraId="2A7D5520" w14:textId="6FD32A25">
            <w:pPr>
              <w:pStyle w:val="TableRowCentered"/>
              <w:ind w:left="0" w:right="0"/>
              <w:jc w:val="left"/>
              <w:rPr>
                <w:sz w:val="22"/>
              </w:rPr>
            </w:pPr>
            <w:r w:rsidRPr="00C95AB6">
              <w:rPr>
                <w:sz w:val="22"/>
              </w:rPr>
              <w:t>1, 2 and 7</w:t>
            </w:r>
          </w:p>
        </w:tc>
      </w:tr>
      <w:tr w:rsidR="00C95AB6" w:rsidTr="00C95AB6" w14:paraId="1F733BAA" w14:textId="77777777">
        <w:tc>
          <w:tcPr>
            <w:tcW w:w="268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C95AB6" w:rsidP="00C31636" w:rsidRDefault="00C95AB6" w14:paraId="184F78F6" w14:textId="0A056FEE">
            <w:pPr>
              <w:pStyle w:val="TableRow"/>
              <w:ind w:left="0" w:right="0"/>
              <w:rPr>
                <w:i/>
                <w:sz w:val="22"/>
              </w:rPr>
            </w:pPr>
            <w:r w:rsidRPr="00C95AB6">
              <w:rPr>
                <w:b/>
                <w:bCs/>
                <w:i/>
                <w:sz w:val="22"/>
              </w:rPr>
              <w:t>Increased teacher-pupil interaction and participation</w:t>
            </w:r>
            <w:r w:rsidRPr="00C95AB6">
              <w:rPr>
                <w:i/>
                <w:sz w:val="22"/>
              </w:rPr>
              <w:t>, ensuring disadvantaged pupils have frequent opportunities to explain their thinking, answer questions, practise skills and receive feedback</w:t>
            </w:r>
          </w:p>
        </w:tc>
        <w:tc>
          <w:tcPr>
            <w:tcW w:w="51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C95AB6" w:rsidP="00C31636" w:rsidRDefault="00C95AB6" w14:paraId="3BE035BB" w14:textId="2CCBDCD0">
            <w:pPr>
              <w:pStyle w:val="TableRowCentered"/>
              <w:ind w:left="0" w:right="0"/>
              <w:jc w:val="left"/>
              <w:rPr>
                <w:sz w:val="22"/>
              </w:rPr>
            </w:pPr>
            <w:r w:rsidRPr="00C95AB6">
              <w:rPr>
                <w:sz w:val="22"/>
              </w:rPr>
              <w:t>The school's previous strategy specifically identified the benefit of a very low teacher-pupil ratio and tailored learning experiences. Increased interaction allows teachers to gain a more accurate understanding of individual pupils' knowledge and misconceptions and provides disadvantaged pupils with greater opportunities to participate actively in learning.</w:t>
            </w:r>
          </w:p>
        </w:tc>
        <w:tc>
          <w:tcPr>
            <w:tcW w:w="16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C95AB6" w:rsidP="00C31636" w:rsidRDefault="00C95AB6" w14:paraId="237A21E6" w14:textId="300968A8">
            <w:pPr>
              <w:pStyle w:val="TableRowCentered"/>
              <w:ind w:left="0" w:right="0"/>
              <w:jc w:val="left"/>
              <w:rPr>
                <w:sz w:val="22"/>
              </w:rPr>
            </w:pPr>
            <w:r w:rsidRPr="00C95AB6">
              <w:rPr>
                <w:sz w:val="22"/>
              </w:rPr>
              <w:t>1, 2 and 8</w:t>
            </w:r>
          </w:p>
        </w:tc>
      </w:tr>
      <w:tr w:rsidR="00C95AB6" w:rsidTr="00C95AB6" w14:paraId="1C608853" w14:textId="77777777">
        <w:tc>
          <w:tcPr>
            <w:tcW w:w="268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C95AB6" w:rsidP="00C95AB6" w:rsidRDefault="00C95AB6" w14:paraId="300FA00F" w14:textId="1665C97D">
            <w:pPr>
              <w:pStyle w:val="TableRow"/>
              <w:ind w:right="0"/>
              <w:rPr>
                <w:i/>
                <w:sz w:val="22"/>
              </w:rPr>
            </w:pPr>
            <w:r w:rsidRPr="00C95AB6">
              <w:rPr>
                <w:b/>
                <w:bCs/>
                <w:i/>
                <w:sz w:val="22"/>
              </w:rPr>
              <w:t>Immediate and specific feedback</w:t>
            </w:r>
            <w:r w:rsidRPr="00C95AB6">
              <w:rPr>
                <w:i/>
                <w:sz w:val="22"/>
              </w:rPr>
              <w:t xml:space="preserve"> within English and Mathematics lessons</w:t>
            </w:r>
          </w:p>
        </w:tc>
        <w:tc>
          <w:tcPr>
            <w:tcW w:w="51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C95AB6" w:rsidP="00C31636" w:rsidRDefault="00C95AB6" w14:paraId="627C1DA3" w14:textId="1E3FD36B">
            <w:pPr>
              <w:pStyle w:val="TableRowCentered"/>
              <w:ind w:left="0" w:right="0"/>
              <w:jc w:val="left"/>
              <w:rPr>
                <w:sz w:val="22"/>
              </w:rPr>
            </w:pPr>
            <w:r w:rsidRPr="00C95AB6">
              <w:rPr>
                <w:sz w:val="22"/>
              </w:rPr>
              <w:t>Smaller groups allow the qualified teacher to monitor pupils' work closely and provide timely feedback. This supports pupils to understand errors, improve their work and become increasingly independent learners.</w:t>
            </w:r>
          </w:p>
        </w:tc>
        <w:tc>
          <w:tcPr>
            <w:tcW w:w="16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C95AB6" w:rsidP="00C31636" w:rsidRDefault="00C95AB6" w14:paraId="4E89ED46" w14:textId="2142D63B">
            <w:pPr>
              <w:pStyle w:val="TableRowCentered"/>
              <w:ind w:left="0" w:right="0"/>
              <w:jc w:val="left"/>
              <w:rPr>
                <w:sz w:val="22"/>
              </w:rPr>
            </w:pPr>
            <w:r w:rsidRPr="00C95AB6">
              <w:rPr>
                <w:sz w:val="22"/>
              </w:rPr>
              <w:t>1, 2 and 8</w:t>
            </w:r>
          </w:p>
        </w:tc>
      </w:tr>
      <w:tr w:rsidR="00C95AB6" w:rsidTr="00C95AB6" w14:paraId="3EA68262" w14:textId="77777777">
        <w:tc>
          <w:tcPr>
            <w:tcW w:w="268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C95AB6" w:rsidP="00C31636" w:rsidRDefault="00C95AB6" w14:paraId="0B09C77B" w14:textId="27F52A5E">
            <w:pPr>
              <w:pStyle w:val="TableRow"/>
              <w:ind w:left="0" w:right="0"/>
              <w:rPr>
                <w:i/>
                <w:sz w:val="22"/>
              </w:rPr>
            </w:pPr>
            <w:r w:rsidRPr="00C95AB6">
              <w:rPr>
                <w:b/>
                <w:bCs/>
                <w:i/>
                <w:sz w:val="22"/>
              </w:rPr>
              <w:lastRenderedPageBreak/>
              <w:t>Teaching matched closely to individual starting points</w:t>
            </w:r>
            <w:r w:rsidRPr="00C95AB6">
              <w:rPr>
                <w:i/>
                <w:sz w:val="22"/>
              </w:rPr>
              <w:t>, including targeted scaffolding where required and appropriate challenge for higher-attaining disadvantaged pupils.</w:t>
            </w:r>
          </w:p>
        </w:tc>
        <w:tc>
          <w:tcPr>
            <w:tcW w:w="51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C95AB6" w:rsidP="00C31636" w:rsidRDefault="00C95AB6" w14:paraId="113675DB" w14:textId="18F367AC">
            <w:pPr>
              <w:pStyle w:val="TableRowCentered"/>
              <w:ind w:left="0" w:right="0"/>
              <w:jc w:val="left"/>
              <w:rPr>
                <w:sz w:val="22"/>
              </w:rPr>
            </w:pPr>
            <w:r w:rsidRPr="00C95AB6">
              <w:rPr>
                <w:sz w:val="22"/>
              </w:rPr>
              <w:t xml:space="preserve">The previous school strategy identified the purpose of the additional teacher support as providing </w:t>
            </w:r>
            <w:r w:rsidRPr="00C95AB6">
              <w:rPr>
                <w:b/>
                <w:bCs/>
                <w:sz w:val="22"/>
              </w:rPr>
              <w:t>“tailored learning experiences at each child's individual level.”</w:t>
            </w:r>
            <w:r w:rsidRPr="00C95AB6">
              <w:rPr>
                <w:sz w:val="22"/>
              </w:rPr>
              <w:t xml:space="preserve"> This approach ensures that disadvantaged pupils who have gaps receive appropriate support without lowering expectations, while higher-attaining pupils continue to receive appropriate challenge.</w:t>
            </w:r>
          </w:p>
        </w:tc>
        <w:tc>
          <w:tcPr>
            <w:tcW w:w="16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C95AB6" w:rsidP="00C31636" w:rsidRDefault="00C95AB6" w14:paraId="71540090" w14:textId="66DB3A28">
            <w:pPr>
              <w:pStyle w:val="TableRowCentered"/>
              <w:ind w:left="0" w:right="0"/>
              <w:jc w:val="left"/>
              <w:rPr>
                <w:sz w:val="22"/>
              </w:rPr>
            </w:pPr>
            <w:r w:rsidRPr="00C95AB6">
              <w:rPr>
                <w:sz w:val="22"/>
              </w:rPr>
              <w:t>1, 2, 7 and 8</w:t>
            </w:r>
          </w:p>
        </w:tc>
      </w:tr>
      <w:tr w:rsidR="00C95AB6" w:rsidTr="00C95AB6" w14:paraId="1FEB72E4" w14:textId="77777777">
        <w:tc>
          <w:tcPr>
            <w:tcW w:w="268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C95AB6" w:rsidP="00C31636" w:rsidRDefault="00C95AB6" w14:paraId="43EFEFF4" w14:textId="187FF087">
            <w:pPr>
              <w:pStyle w:val="TableRow"/>
              <w:ind w:left="0" w:right="0"/>
              <w:rPr>
                <w:i/>
                <w:sz w:val="22"/>
              </w:rPr>
            </w:pPr>
            <w:r w:rsidRPr="00C95AB6">
              <w:rPr>
                <w:b/>
                <w:bCs/>
                <w:i/>
                <w:sz w:val="22"/>
              </w:rPr>
              <w:t>Regular review of groupings and pupil progress</w:t>
            </w:r>
            <w:r w:rsidRPr="00C95AB6">
              <w:rPr>
                <w:i/>
                <w:sz w:val="22"/>
              </w:rPr>
              <w:t>, ensuring that the 15-pupil model remains responsive to changing pupil need.</w:t>
            </w:r>
          </w:p>
        </w:tc>
        <w:tc>
          <w:tcPr>
            <w:tcW w:w="51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C95AB6" w:rsidP="00C31636" w:rsidRDefault="00C95AB6" w14:paraId="66D541F9" w14:textId="0A595883">
            <w:pPr>
              <w:pStyle w:val="TableRowCentered"/>
              <w:ind w:left="0" w:right="0"/>
              <w:jc w:val="left"/>
              <w:rPr>
                <w:sz w:val="22"/>
              </w:rPr>
            </w:pPr>
            <w:r w:rsidRPr="00C95AB6">
              <w:rPr>
                <w:sz w:val="22"/>
              </w:rPr>
              <w:t>Termly assessment, pupil progress meetings and teacher assessment provide evidence of whether pupils are making the expected progress. Groupings can therefore be adjusted in response to attainment, progress and identified need rather than remaining fixed throughout the year.</w:t>
            </w:r>
          </w:p>
        </w:tc>
        <w:tc>
          <w:tcPr>
            <w:tcW w:w="16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C95AB6" w:rsidR="00C95AB6" w:rsidP="00C95AB6" w:rsidRDefault="00C95AB6" w14:paraId="5CAE5E81" w14:textId="77777777">
            <w:pPr>
              <w:suppressAutoHyphens w:val="0"/>
              <w:spacing w:after="0" w:line="240" w:lineRule="auto"/>
              <w:rPr>
                <w:b/>
                <w:bCs/>
                <w:color w:val="auto"/>
              </w:rPr>
            </w:pPr>
            <w:r w:rsidRPr="00C95AB6">
              <w:rPr>
                <w:rStyle w:val="Strong"/>
                <w:b w:val="0"/>
                <w:bCs w:val="0"/>
              </w:rPr>
              <w:t>1, 2, 3, 7 and 8</w:t>
            </w:r>
          </w:p>
          <w:p w:rsidR="00C95AB6" w:rsidP="00C31636" w:rsidRDefault="00C95AB6" w14:paraId="1E50E199" w14:textId="77777777">
            <w:pPr>
              <w:pStyle w:val="TableRowCentered"/>
              <w:ind w:left="0" w:right="0"/>
              <w:jc w:val="left"/>
              <w:rPr>
                <w:sz w:val="22"/>
              </w:rPr>
            </w:pPr>
          </w:p>
        </w:tc>
      </w:tr>
    </w:tbl>
    <w:p w:rsidR="00E66558" w:rsidP="00ED5108" w:rsidRDefault="00E66558" w14:paraId="2A7D5522" w14:textId="77777777"/>
    <w:p w:rsidRPr="00AA355B" w:rsidR="00E66558" w:rsidP="00AA355B" w:rsidRDefault="009D71E8" w14:paraId="2A7D5523" w14:textId="176BF93D">
      <w:pPr>
        <w:pStyle w:val="Heading3"/>
      </w:pPr>
      <w:r>
        <w:t xml:space="preserve">Targeted academic support </w:t>
      </w:r>
    </w:p>
    <w:p w:rsidR="00E66558" w:rsidRDefault="009D71E8" w14:paraId="2A7D5524" w14:textId="7263B827">
      <w:r>
        <w:t>Budgeted cost: £</w:t>
      </w:r>
      <w:r w:rsidR="00ED666B">
        <w:t>19,500</w:t>
      </w:r>
    </w:p>
    <w:p w:rsidR="00ED666B" w:rsidRDefault="00ED666B" w14:paraId="729D300C" w14:textId="44C27755">
      <w:r w:rsidRPr="00ED666B">
        <w:t>Teaching assistant and targeted academic interventions</w:t>
      </w:r>
      <w:r>
        <w:t xml:space="preserve"> = £14,000</w:t>
      </w:r>
    </w:p>
    <w:p w:rsidR="00ED666B" w:rsidRDefault="00ED666B" w14:paraId="19C354AE" w14:textId="102959C1">
      <w:r w:rsidRPr="00ED666B">
        <w:t>Resources and online learning programmes</w:t>
      </w:r>
      <w:r>
        <w:t xml:space="preserve"> = £5,500</w:t>
      </w:r>
    </w:p>
    <w:tbl>
      <w:tblPr>
        <w:tblW w:w="5000" w:type="pct"/>
        <w:tblCellMar>
          <w:left w:w="10" w:type="dxa"/>
          <w:right w:w="10" w:type="dxa"/>
        </w:tblCellMar>
        <w:tblLook w:val="04A0" w:firstRow="1" w:lastRow="0" w:firstColumn="1" w:lastColumn="0" w:noHBand="0" w:noVBand="1"/>
      </w:tblPr>
      <w:tblGrid>
        <w:gridCol w:w="2688"/>
        <w:gridCol w:w="4254"/>
        <w:gridCol w:w="2544"/>
      </w:tblGrid>
      <w:tr w:rsidR="00E66558" w:rsidTr="00CA4421" w14:paraId="2A7D5528" w14:textId="77777777">
        <w:tc>
          <w:tcPr>
            <w:tcW w:w="2688" w:type="dxa"/>
            <w:tcBorders>
              <w:top w:val="single" w:color="000000" w:sz="4" w:space="0"/>
              <w:left w:val="single" w:color="000000" w:sz="4" w:space="0"/>
              <w:bottom w:val="single" w:color="000000" w:sz="4" w:space="0"/>
              <w:right w:val="single" w:color="000000" w:sz="4" w:space="0"/>
            </w:tcBorders>
            <w:shd w:val="clear" w:color="auto" w:fill="CFDCE3"/>
            <w:tcMar>
              <w:top w:w="0" w:type="dxa"/>
              <w:left w:w="108" w:type="dxa"/>
              <w:bottom w:w="0" w:type="dxa"/>
              <w:right w:w="108" w:type="dxa"/>
            </w:tcMar>
          </w:tcPr>
          <w:p w:rsidR="00E66558" w:rsidP="00C31636" w:rsidRDefault="009D71E8" w14:paraId="2A7D5525" w14:textId="77777777">
            <w:pPr>
              <w:pStyle w:val="TableHeader"/>
              <w:ind w:left="0" w:right="0"/>
              <w:jc w:val="left"/>
            </w:pPr>
            <w:r>
              <w:t>Activity</w:t>
            </w:r>
          </w:p>
        </w:tc>
        <w:tc>
          <w:tcPr>
            <w:tcW w:w="4254" w:type="dxa"/>
            <w:tcBorders>
              <w:top w:val="single" w:color="000000" w:sz="4" w:space="0"/>
              <w:left w:val="single" w:color="000000" w:sz="4" w:space="0"/>
              <w:bottom w:val="single" w:color="000000" w:sz="4" w:space="0"/>
              <w:right w:val="single" w:color="000000" w:sz="4" w:space="0"/>
            </w:tcBorders>
            <w:shd w:val="clear" w:color="auto" w:fill="CFDCE3"/>
            <w:tcMar>
              <w:top w:w="0" w:type="dxa"/>
              <w:left w:w="108" w:type="dxa"/>
              <w:bottom w:w="0" w:type="dxa"/>
              <w:right w:w="108" w:type="dxa"/>
            </w:tcMar>
          </w:tcPr>
          <w:p w:rsidR="00E66558" w:rsidP="00C31636" w:rsidRDefault="009D71E8" w14:paraId="2A7D5526" w14:textId="77777777">
            <w:pPr>
              <w:pStyle w:val="TableHeader"/>
              <w:ind w:left="0" w:right="0"/>
              <w:jc w:val="left"/>
            </w:pPr>
            <w:r>
              <w:t>Evidence that supports this approach</w:t>
            </w:r>
          </w:p>
        </w:tc>
        <w:tc>
          <w:tcPr>
            <w:tcW w:w="2544" w:type="dxa"/>
            <w:tcBorders>
              <w:top w:val="single" w:color="000000" w:sz="4" w:space="0"/>
              <w:left w:val="single" w:color="000000" w:sz="4" w:space="0"/>
              <w:bottom w:val="single" w:color="000000" w:sz="4" w:space="0"/>
              <w:right w:val="single" w:color="000000" w:sz="4" w:space="0"/>
            </w:tcBorders>
            <w:shd w:val="clear" w:color="auto" w:fill="CFDCE3"/>
            <w:tcMar>
              <w:top w:w="0" w:type="dxa"/>
              <w:left w:w="108" w:type="dxa"/>
              <w:bottom w:w="0" w:type="dxa"/>
              <w:right w:w="108" w:type="dxa"/>
            </w:tcMar>
          </w:tcPr>
          <w:p w:rsidR="00E66558" w:rsidP="00C31636" w:rsidRDefault="009D71E8" w14:paraId="2A7D5527" w14:textId="77777777">
            <w:pPr>
              <w:pStyle w:val="TableHeader"/>
              <w:ind w:left="0" w:right="0"/>
              <w:jc w:val="left"/>
            </w:pPr>
            <w:r>
              <w:t>Challenge number(s) addressed</w:t>
            </w:r>
          </w:p>
        </w:tc>
      </w:tr>
      <w:tr w:rsidR="00E66558" w14:paraId="2A7D552C" w14:textId="77777777">
        <w:tc>
          <w:tcPr>
            <w:tcW w:w="268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E66558" w:rsidP="00C31636" w:rsidRDefault="005C310E" w14:paraId="2A7D5529" w14:textId="030FF3C8">
            <w:pPr>
              <w:pStyle w:val="TableRow"/>
              <w:ind w:left="0" w:right="0"/>
            </w:pPr>
            <w:r w:rsidRPr="005C310E">
              <w:rPr>
                <w:b/>
                <w:bCs/>
                <w:i/>
                <w:iCs/>
                <w:sz w:val="22"/>
                <w:szCs w:val="22"/>
              </w:rPr>
              <w:t>Targeted individual and small-group interventions:</w:t>
            </w:r>
            <w:r w:rsidRPr="005C310E">
              <w:rPr>
                <w:i/>
                <w:iCs/>
                <w:sz w:val="22"/>
                <w:szCs w:val="22"/>
              </w:rPr>
              <w:t xml:space="preserve"> Targeted support will be provided for pupils identified through assessment as requiring additional support in phonics, reading fluency and comprehension, writing, spelling, mathematics and consolidation of learning. Interventions will complement high-quality classroom teaching and will be reviewed through entry and exit assessment, teacher assessment and pupil progress meetings.</w:t>
            </w:r>
          </w:p>
        </w:tc>
        <w:tc>
          <w:tcPr>
            <w:tcW w:w="425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E66558" w:rsidP="00C31636" w:rsidRDefault="005C310E" w14:paraId="2A7D552A" w14:textId="2CF6E709">
            <w:pPr>
              <w:pStyle w:val="TableRowCentered"/>
              <w:ind w:left="0" w:right="0"/>
              <w:jc w:val="left"/>
              <w:rPr>
                <w:sz w:val="22"/>
              </w:rPr>
            </w:pPr>
            <w:r w:rsidRPr="005C310E">
              <w:rPr>
                <w:sz w:val="22"/>
              </w:rPr>
              <w:t xml:space="preserve">Culcheth's previous Pupil Premium strategy identified </w:t>
            </w:r>
            <w:r w:rsidRPr="005C310E">
              <w:rPr>
                <w:b/>
                <w:bCs/>
                <w:sz w:val="22"/>
              </w:rPr>
              <w:t>teaching assistant support, specialist interventions and tutoring</w:t>
            </w:r>
            <w:r w:rsidRPr="005C310E">
              <w:rPr>
                <w:sz w:val="22"/>
              </w:rPr>
              <w:t xml:space="preserve"> as a key area of expenditure, with individual and small-group support provided to targeted pupils. The school's approach is to identify pupils requiring additional support through assessment and provide intervention targeted at specific gaps rather than using a universal intervention model. This enables pupils to receive additional teaching while maintaining access to the full curriculum. Impact will be evaluated through baseline and subsequent assessment, pupil progress discussions and evidence that pupils are able to apply their learning successfully within the classroom.</w:t>
            </w:r>
          </w:p>
        </w:tc>
        <w:tc>
          <w:tcPr>
            <w:tcW w:w="254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E66558" w:rsidP="00C31636" w:rsidRDefault="005C310E" w14:paraId="2A7D552B" w14:textId="4C0D48D9">
            <w:pPr>
              <w:pStyle w:val="TableRowCentered"/>
              <w:ind w:left="0" w:right="0"/>
              <w:jc w:val="left"/>
              <w:rPr>
                <w:sz w:val="22"/>
              </w:rPr>
            </w:pPr>
            <w:r w:rsidRPr="005C310E">
              <w:rPr>
                <w:sz w:val="22"/>
              </w:rPr>
              <w:t>1, 2, 4 and 7</w:t>
            </w:r>
          </w:p>
        </w:tc>
      </w:tr>
      <w:tr w:rsidR="00E66558" w14:paraId="2A7D5530" w14:textId="77777777">
        <w:tc>
          <w:tcPr>
            <w:tcW w:w="268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E66558" w:rsidP="005C310E" w:rsidRDefault="005C310E" w14:paraId="2A7D552D" w14:textId="6F764CFB">
            <w:pPr>
              <w:pStyle w:val="TableRow"/>
              <w:ind w:left="0" w:right="0"/>
              <w:rPr>
                <w:i/>
                <w:sz w:val="22"/>
              </w:rPr>
            </w:pPr>
            <w:r w:rsidRPr="005C310E">
              <w:rPr>
                <w:b/>
                <w:bCs/>
                <w:i/>
                <w:sz w:val="22"/>
              </w:rPr>
              <w:t>Reading and online learning programmes:</w:t>
            </w:r>
            <w:r w:rsidRPr="005C310E">
              <w:rPr>
                <w:i/>
                <w:sz w:val="22"/>
              </w:rPr>
              <w:t xml:space="preserve"> Where appropriate, pupils will access programmes including </w:t>
            </w:r>
            <w:r w:rsidRPr="005C310E">
              <w:rPr>
                <w:b/>
                <w:bCs/>
                <w:i/>
                <w:sz w:val="22"/>
              </w:rPr>
              <w:lastRenderedPageBreak/>
              <w:t xml:space="preserve">Lexia, Reading Plus and </w:t>
            </w:r>
            <w:proofErr w:type="spellStart"/>
            <w:r w:rsidRPr="005C310E">
              <w:rPr>
                <w:b/>
                <w:bCs/>
                <w:i/>
                <w:sz w:val="22"/>
              </w:rPr>
              <w:t>Mathseeds</w:t>
            </w:r>
            <w:proofErr w:type="spellEnd"/>
            <w:r w:rsidRPr="005C310E">
              <w:rPr>
                <w:i/>
                <w:sz w:val="22"/>
              </w:rPr>
              <w:t>, alongside teacher assessment and classroom teaching. Participation and progress will be monitored to ensure that programmes are supporting identified needs and that learning transfers into pupils' independent classroom work.</w:t>
            </w:r>
          </w:p>
        </w:tc>
        <w:tc>
          <w:tcPr>
            <w:tcW w:w="425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E66558" w:rsidP="00C31636" w:rsidRDefault="005C310E" w14:paraId="2A7D552E" w14:textId="298669F2">
            <w:pPr>
              <w:pStyle w:val="TableRowCentered"/>
              <w:ind w:left="0" w:right="0"/>
              <w:jc w:val="left"/>
              <w:rPr>
                <w:sz w:val="22"/>
              </w:rPr>
            </w:pPr>
            <w:r w:rsidRPr="005C310E">
              <w:rPr>
                <w:sz w:val="22"/>
              </w:rPr>
              <w:lastRenderedPageBreak/>
              <w:t xml:space="preserve">The school's previous Pupil Premium report identified the use of </w:t>
            </w:r>
            <w:r w:rsidRPr="005C310E">
              <w:rPr>
                <w:b/>
                <w:bCs/>
                <w:sz w:val="22"/>
              </w:rPr>
              <w:t>Lexia</w:t>
            </w:r>
            <w:r w:rsidRPr="005C310E">
              <w:rPr>
                <w:sz w:val="22"/>
              </w:rPr>
              <w:t xml:space="preserve"> to support reading and reported that pupils who regularly participated in the programme made </w:t>
            </w:r>
            <w:r w:rsidRPr="005C310E">
              <w:rPr>
                <w:b/>
                <w:bCs/>
                <w:sz w:val="22"/>
              </w:rPr>
              <w:t xml:space="preserve">accelerated </w:t>
            </w:r>
            <w:r w:rsidRPr="005C310E">
              <w:rPr>
                <w:b/>
                <w:bCs/>
                <w:sz w:val="22"/>
              </w:rPr>
              <w:lastRenderedPageBreak/>
              <w:t>progress</w:t>
            </w:r>
            <w:r w:rsidRPr="005C310E">
              <w:rPr>
                <w:sz w:val="22"/>
              </w:rPr>
              <w:t xml:space="preserve">. The previous strategy also identified the use of online programmes including </w:t>
            </w:r>
            <w:proofErr w:type="spellStart"/>
            <w:r w:rsidRPr="005C310E">
              <w:rPr>
                <w:b/>
                <w:bCs/>
                <w:sz w:val="22"/>
              </w:rPr>
              <w:t>Mathseeds</w:t>
            </w:r>
            <w:proofErr w:type="spellEnd"/>
            <w:r w:rsidRPr="005C310E">
              <w:rPr>
                <w:b/>
                <w:bCs/>
                <w:sz w:val="22"/>
              </w:rPr>
              <w:t>, Lexia and Reading Plus</w:t>
            </w:r>
            <w:r w:rsidRPr="005C310E">
              <w:rPr>
                <w:sz w:val="22"/>
              </w:rPr>
              <w:t xml:space="preserve"> as part of the school's impact measures. This provides school-specific evidence for continuing to use online programmes where assessment indicates that they are appropriate. The school will continue to evaluate participation, progress and transfer to classroom learning rather than measuring impact solely through completion or usage.</w:t>
            </w:r>
          </w:p>
        </w:tc>
        <w:tc>
          <w:tcPr>
            <w:tcW w:w="254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E66558" w:rsidP="00C31636" w:rsidRDefault="005C310E" w14:paraId="2A7D552F" w14:textId="4780CF54">
            <w:pPr>
              <w:pStyle w:val="TableRowCentered"/>
              <w:ind w:left="0" w:right="0"/>
              <w:jc w:val="left"/>
              <w:rPr>
                <w:sz w:val="22"/>
              </w:rPr>
            </w:pPr>
            <w:r w:rsidRPr="005C310E">
              <w:rPr>
                <w:sz w:val="22"/>
              </w:rPr>
              <w:lastRenderedPageBreak/>
              <w:t>1, 2, 4 and 7</w:t>
            </w:r>
          </w:p>
        </w:tc>
      </w:tr>
    </w:tbl>
    <w:p w:rsidR="00E66558" w:rsidP="00AA355B" w:rsidRDefault="00E66558" w14:paraId="2A7D5531" w14:textId="77777777"/>
    <w:p w:rsidRPr="00AA355B" w:rsidR="00E66558" w:rsidP="00AA355B" w:rsidRDefault="009D71E8" w14:paraId="2A7D5532" w14:textId="54022E63">
      <w:pPr>
        <w:pStyle w:val="Heading3"/>
      </w:pPr>
      <w:r>
        <w:t xml:space="preserve">Wider strategies </w:t>
      </w:r>
    </w:p>
    <w:p w:rsidR="00E66558" w:rsidRDefault="009D71E8" w14:paraId="2A7D5533" w14:textId="22AF5F99">
      <w:pPr>
        <w:spacing w:before="240" w:after="120"/>
      </w:pPr>
      <w:r>
        <w:t>Budgeted cost: £</w:t>
      </w:r>
      <w:r w:rsidR="00ED666B">
        <w:t>9,305</w:t>
      </w:r>
    </w:p>
    <w:p w:rsidR="00ED666B" w:rsidRDefault="00ED666B" w14:paraId="5872F155" w14:textId="396972E8">
      <w:pPr>
        <w:spacing w:before="240" w:after="120"/>
      </w:pPr>
      <w:r w:rsidRPr="00ED666B">
        <w:t>Educational visits and residential subsidies</w:t>
      </w:r>
      <w:r>
        <w:t xml:space="preserve"> = £5,000</w:t>
      </w:r>
    </w:p>
    <w:p w:rsidR="00ED666B" w:rsidRDefault="00ED666B" w14:paraId="0678EDF0" w14:textId="47FFC51B">
      <w:pPr>
        <w:spacing w:before="240" w:after="120"/>
      </w:pPr>
      <w:r w:rsidRPr="00ED666B">
        <w:t>Extra</w:t>
      </w:r>
      <w:r>
        <w:t>-</w:t>
      </w:r>
      <w:r w:rsidRPr="00ED666B">
        <w:t>curricular clubs</w:t>
      </w:r>
      <w:r>
        <w:t xml:space="preserve"> = £3,000</w:t>
      </w:r>
    </w:p>
    <w:p w:rsidR="00ED666B" w:rsidRDefault="00ED666B" w14:paraId="4AD9E0D8" w14:textId="36854ACA">
      <w:pPr>
        <w:spacing w:before="240" w:after="120"/>
      </w:pPr>
      <w:r>
        <w:t>Attendance, pastoral and wider support = £1,305</w:t>
      </w:r>
    </w:p>
    <w:tbl>
      <w:tblPr>
        <w:tblW w:w="5000" w:type="pct"/>
        <w:tblCellMar>
          <w:left w:w="10" w:type="dxa"/>
          <w:right w:w="10" w:type="dxa"/>
        </w:tblCellMar>
        <w:tblLook w:val="04A0" w:firstRow="1" w:lastRow="0" w:firstColumn="1" w:lastColumn="0" w:noHBand="0" w:noVBand="1"/>
      </w:tblPr>
      <w:tblGrid>
        <w:gridCol w:w="2688"/>
        <w:gridCol w:w="4254"/>
        <w:gridCol w:w="2544"/>
      </w:tblGrid>
      <w:tr w:rsidR="00E66558" w:rsidTr="00CA4421" w14:paraId="2A7D5537" w14:textId="77777777">
        <w:tc>
          <w:tcPr>
            <w:tcW w:w="2688" w:type="dxa"/>
            <w:tcBorders>
              <w:top w:val="single" w:color="000000" w:sz="4" w:space="0"/>
              <w:left w:val="single" w:color="000000" w:sz="4" w:space="0"/>
              <w:bottom w:val="single" w:color="000000" w:sz="4" w:space="0"/>
              <w:right w:val="single" w:color="000000" w:sz="4" w:space="0"/>
            </w:tcBorders>
            <w:shd w:val="clear" w:color="auto" w:fill="CFDCE3"/>
            <w:tcMar>
              <w:top w:w="0" w:type="dxa"/>
              <w:left w:w="108" w:type="dxa"/>
              <w:bottom w:w="0" w:type="dxa"/>
              <w:right w:w="108" w:type="dxa"/>
            </w:tcMar>
          </w:tcPr>
          <w:p w:rsidR="00E66558" w:rsidP="00C31636" w:rsidRDefault="009D71E8" w14:paraId="2A7D5534" w14:textId="77777777">
            <w:pPr>
              <w:pStyle w:val="TableHeader"/>
              <w:ind w:left="0" w:right="0"/>
              <w:jc w:val="left"/>
            </w:pPr>
            <w:r>
              <w:t>Activity</w:t>
            </w:r>
          </w:p>
        </w:tc>
        <w:tc>
          <w:tcPr>
            <w:tcW w:w="4254" w:type="dxa"/>
            <w:tcBorders>
              <w:top w:val="single" w:color="000000" w:sz="4" w:space="0"/>
              <w:left w:val="single" w:color="000000" w:sz="4" w:space="0"/>
              <w:bottom w:val="single" w:color="000000" w:sz="4" w:space="0"/>
              <w:right w:val="single" w:color="000000" w:sz="4" w:space="0"/>
            </w:tcBorders>
            <w:shd w:val="clear" w:color="auto" w:fill="CFDCE3"/>
            <w:tcMar>
              <w:top w:w="0" w:type="dxa"/>
              <w:left w:w="108" w:type="dxa"/>
              <w:bottom w:w="0" w:type="dxa"/>
              <w:right w:w="108" w:type="dxa"/>
            </w:tcMar>
          </w:tcPr>
          <w:p w:rsidR="00E66558" w:rsidP="00C31636" w:rsidRDefault="009D71E8" w14:paraId="2A7D5535" w14:textId="77777777">
            <w:pPr>
              <w:pStyle w:val="TableHeader"/>
              <w:ind w:left="0" w:right="0"/>
              <w:jc w:val="left"/>
            </w:pPr>
            <w:r>
              <w:t>Evidence that supports this approach</w:t>
            </w:r>
          </w:p>
        </w:tc>
        <w:tc>
          <w:tcPr>
            <w:tcW w:w="2544" w:type="dxa"/>
            <w:tcBorders>
              <w:top w:val="single" w:color="000000" w:sz="4" w:space="0"/>
              <w:left w:val="single" w:color="000000" w:sz="4" w:space="0"/>
              <w:bottom w:val="single" w:color="000000" w:sz="4" w:space="0"/>
              <w:right w:val="single" w:color="000000" w:sz="4" w:space="0"/>
            </w:tcBorders>
            <w:shd w:val="clear" w:color="auto" w:fill="CFDCE3"/>
            <w:tcMar>
              <w:top w:w="0" w:type="dxa"/>
              <w:left w:w="108" w:type="dxa"/>
              <w:bottom w:w="0" w:type="dxa"/>
              <w:right w:w="108" w:type="dxa"/>
            </w:tcMar>
          </w:tcPr>
          <w:p w:rsidR="00E66558" w:rsidP="00C31636" w:rsidRDefault="009D71E8" w14:paraId="2A7D5536" w14:textId="77777777">
            <w:pPr>
              <w:pStyle w:val="TableHeader"/>
              <w:ind w:left="0" w:right="0"/>
              <w:jc w:val="left"/>
            </w:pPr>
            <w:r>
              <w:t>Challenge number(s) addressed</w:t>
            </w:r>
          </w:p>
        </w:tc>
      </w:tr>
      <w:tr w:rsidR="00E66558" w14:paraId="2A7D553B" w14:textId="77777777">
        <w:tc>
          <w:tcPr>
            <w:tcW w:w="268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E66558" w:rsidP="00C31636" w:rsidRDefault="005C310E" w14:paraId="2A7D5538" w14:textId="53A6557A">
            <w:pPr>
              <w:pStyle w:val="TableRow"/>
              <w:ind w:left="0" w:right="0"/>
            </w:pPr>
            <w:r w:rsidRPr="005C310E">
              <w:rPr>
                <w:b/>
                <w:bCs/>
              </w:rPr>
              <w:t>Educational visits, residentials and extracurricular clubs:</w:t>
            </w:r>
            <w:r w:rsidRPr="005C310E">
              <w:t xml:space="preserve"> The school will continue to use Pupil Premium funding to subsidise educational visits, residential experiences and extracurricular clubs where cost would otherwise be a barrier. The aim is to ensure disadvantaged pupils have equitable access to the wider curriculum and opportunities that develop cultural capital, confidence, independence, relationships and aspirations.</w:t>
            </w:r>
          </w:p>
        </w:tc>
        <w:tc>
          <w:tcPr>
            <w:tcW w:w="425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E66558" w:rsidP="00C31636" w:rsidRDefault="005C310E" w14:paraId="2A7D5539" w14:textId="63BA2113">
            <w:pPr>
              <w:pStyle w:val="TableRowCentered"/>
              <w:ind w:left="0" w:right="0"/>
              <w:jc w:val="left"/>
              <w:rPr>
                <w:sz w:val="22"/>
              </w:rPr>
            </w:pPr>
            <w:r w:rsidRPr="005C310E">
              <w:rPr>
                <w:sz w:val="22"/>
              </w:rPr>
              <w:t xml:space="preserve">Culcheth's previous Pupil Premium strategy allocated funding to </w:t>
            </w:r>
            <w:r w:rsidRPr="005C310E">
              <w:rPr>
                <w:b/>
                <w:bCs/>
                <w:sz w:val="22"/>
              </w:rPr>
              <w:t>club and trip subsidies</w:t>
            </w:r>
            <w:r w:rsidRPr="005C310E">
              <w:rPr>
                <w:sz w:val="22"/>
              </w:rPr>
              <w:t xml:space="preserve">, with all Pupil Premium pupils offered three clubs free of charge and pupils eligible for FSM receiving significantly reduced costs for residential trips. The school identified </w:t>
            </w:r>
            <w:r w:rsidRPr="005C310E">
              <w:rPr>
                <w:b/>
                <w:bCs/>
                <w:sz w:val="22"/>
              </w:rPr>
              <w:t>low aspirations, limited life experiences and reduced opportunities to access educational experiences outside the local area</w:t>
            </w:r>
            <w:r w:rsidRPr="005C310E">
              <w:rPr>
                <w:sz w:val="22"/>
              </w:rPr>
              <w:t xml:space="preserve"> as barriers for some disadvantaged pupils. Continuing to subsidise participation removes financial barriers and enables disadvantaged pupils to access the same enrichment and wider educational experiences as their peers.</w:t>
            </w:r>
          </w:p>
        </w:tc>
        <w:tc>
          <w:tcPr>
            <w:tcW w:w="254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E66558" w:rsidP="00C31636" w:rsidRDefault="005C310E" w14:paraId="2A7D553A" w14:textId="25679ADF">
            <w:pPr>
              <w:pStyle w:val="TableRowCentered"/>
              <w:ind w:left="0" w:right="0"/>
              <w:jc w:val="left"/>
              <w:rPr>
                <w:sz w:val="22"/>
              </w:rPr>
            </w:pPr>
            <w:r w:rsidRPr="005C310E">
              <w:rPr>
                <w:sz w:val="22"/>
              </w:rPr>
              <w:t>6 and 8</w:t>
            </w:r>
          </w:p>
        </w:tc>
      </w:tr>
      <w:tr w:rsidR="00E66558" w14:paraId="2A7D553F" w14:textId="77777777">
        <w:tc>
          <w:tcPr>
            <w:tcW w:w="268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E66558" w:rsidP="00C31636" w:rsidRDefault="005C310E" w14:paraId="2A7D553C" w14:textId="4E2BC687">
            <w:pPr>
              <w:pStyle w:val="TableRow"/>
              <w:ind w:left="0" w:right="0"/>
              <w:rPr>
                <w:i/>
                <w:sz w:val="22"/>
              </w:rPr>
            </w:pPr>
            <w:r w:rsidRPr="005C310E">
              <w:rPr>
                <w:b/>
                <w:bCs/>
                <w:i/>
                <w:sz w:val="22"/>
              </w:rPr>
              <w:lastRenderedPageBreak/>
              <w:t>Attendance and pastoral support:</w:t>
            </w:r>
            <w:r w:rsidRPr="005C310E">
              <w:rPr>
                <w:i/>
                <w:sz w:val="22"/>
              </w:rPr>
              <w:t xml:space="preserve"> Attendance will be monitored closely, with early identification of disadvantaged pupils at risk of persistent absence. The school will work with pupils and families to identify barriers to attendance and provide appropriate pastoral and attendance support.</w:t>
            </w:r>
          </w:p>
        </w:tc>
        <w:tc>
          <w:tcPr>
            <w:tcW w:w="425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E66558" w:rsidP="00C31636" w:rsidRDefault="005C310E" w14:paraId="2A7D553D" w14:textId="65428753">
            <w:pPr>
              <w:pStyle w:val="TableRowCentered"/>
              <w:ind w:left="0" w:right="0"/>
              <w:jc w:val="left"/>
              <w:rPr>
                <w:sz w:val="22"/>
              </w:rPr>
            </w:pPr>
            <w:r w:rsidRPr="005C310E">
              <w:rPr>
                <w:sz w:val="22"/>
              </w:rPr>
              <w:t xml:space="preserve">The school's previous strategy identified that </w:t>
            </w:r>
            <w:r w:rsidRPr="005C310E">
              <w:rPr>
                <w:b/>
                <w:bCs/>
                <w:sz w:val="22"/>
              </w:rPr>
              <w:t>some disadvantaged pupils do not attend school regularly and have low attendance levels</w:t>
            </w:r>
            <w:r w:rsidRPr="005C310E">
              <w:rPr>
                <w:sz w:val="22"/>
              </w:rPr>
              <w:t>, resulting in significant amounts of missed learning. Attendance analysis was also identified as one of the school's measures for evaluating the impact of its Pupil Premium strategy. Close monitoring enables the school to identify emerging concerns early and provide support before patterns of absence become established.</w:t>
            </w:r>
          </w:p>
        </w:tc>
        <w:tc>
          <w:tcPr>
            <w:tcW w:w="254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E66558" w:rsidP="00C31636" w:rsidRDefault="005C310E" w14:paraId="2A7D553E" w14:textId="76DF9555">
            <w:pPr>
              <w:pStyle w:val="TableRowCentered"/>
              <w:ind w:left="0" w:right="0"/>
              <w:jc w:val="left"/>
              <w:rPr>
                <w:sz w:val="22"/>
              </w:rPr>
            </w:pPr>
            <w:r w:rsidRPr="005C310E">
              <w:rPr>
                <w:sz w:val="22"/>
              </w:rPr>
              <w:t>3 and 5</w:t>
            </w:r>
          </w:p>
        </w:tc>
      </w:tr>
      <w:tr w:rsidR="005C310E" w14:paraId="4B5C9AF6" w14:textId="77777777">
        <w:tc>
          <w:tcPr>
            <w:tcW w:w="268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5C310E" w:rsidP="00C31636" w:rsidRDefault="005C310E" w14:paraId="4B1EE193" w14:textId="0DD90549">
            <w:pPr>
              <w:pStyle w:val="TableRow"/>
              <w:ind w:left="0" w:right="0"/>
              <w:rPr>
                <w:i/>
                <w:sz w:val="22"/>
              </w:rPr>
            </w:pPr>
            <w:r w:rsidRPr="005C310E">
              <w:rPr>
                <w:b/>
                <w:bCs/>
                <w:i/>
                <w:sz w:val="22"/>
              </w:rPr>
              <w:t>Resources:</w:t>
            </w:r>
            <w:r w:rsidRPr="005C310E">
              <w:rPr>
                <w:i/>
                <w:sz w:val="22"/>
              </w:rPr>
              <w:t xml:space="preserve"> Specialist resources and appropriate digital learning programmes will be provided where they address identified barriers to learning. Resources will be selected according to </w:t>
            </w:r>
            <w:proofErr w:type="gramStart"/>
            <w:r w:rsidRPr="005C310E">
              <w:rPr>
                <w:i/>
                <w:sz w:val="22"/>
              </w:rPr>
              <w:t>individual</w:t>
            </w:r>
            <w:proofErr w:type="gramEnd"/>
            <w:r w:rsidRPr="005C310E">
              <w:rPr>
                <w:i/>
                <w:sz w:val="22"/>
              </w:rPr>
              <w:t xml:space="preserve"> or cohort need and their impact will be evaluated through assessment and teacher monitoring.</w:t>
            </w:r>
          </w:p>
        </w:tc>
        <w:tc>
          <w:tcPr>
            <w:tcW w:w="425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5C310E" w:rsidP="00C31636" w:rsidRDefault="005C310E" w14:paraId="7AC0ADD3" w14:textId="738B8DBC">
            <w:pPr>
              <w:pStyle w:val="TableRowCentered"/>
              <w:ind w:left="0" w:right="0"/>
              <w:jc w:val="left"/>
              <w:rPr>
                <w:sz w:val="22"/>
              </w:rPr>
            </w:pPr>
            <w:r w:rsidRPr="005C310E">
              <w:rPr>
                <w:sz w:val="22"/>
              </w:rPr>
              <w:t xml:space="preserve">The previous Pupil Premium strategy included </w:t>
            </w:r>
            <w:r w:rsidRPr="005C310E">
              <w:rPr>
                <w:b/>
                <w:bCs/>
                <w:sz w:val="22"/>
              </w:rPr>
              <w:t>£8,500 for specialist materials to support pupils in small intervention groups</w:t>
            </w:r>
            <w:r w:rsidRPr="005C310E">
              <w:rPr>
                <w:sz w:val="22"/>
              </w:rPr>
              <w:t xml:space="preserve">. The school also identified the use of online programmes including </w:t>
            </w:r>
            <w:proofErr w:type="spellStart"/>
            <w:r w:rsidRPr="005C310E">
              <w:rPr>
                <w:b/>
                <w:bCs/>
                <w:sz w:val="22"/>
              </w:rPr>
              <w:t>Mathseeds</w:t>
            </w:r>
            <w:proofErr w:type="spellEnd"/>
            <w:r w:rsidRPr="005C310E">
              <w:rPr>
                <w:b/>
                <w:bCs/>
                <w:sz w:val="22"/>
              </w:rPr>
              <w:t>, Lexia and Reading Plus</w:t>
            </w:r>
            <w:r w:rsidRPr="005C310E">
              <w:rPr>
                <w:sz w:val="22"/>
              </w:rPr>
              <w:t xml:space="preserve"> as part of its impact measures. This supports the continued use of appropriate resources where they directly address identified learning needs.</w:t>
            </w:r>
          </w:p>
        </w:tc>
        <w:tc>
          <w:tcPr>
            <w:tcW w:w="254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5C310E" w:rsidP="00C31636" w:rsidRDefault="005C310E" w14:paraId="4CD9674C" w14:textId="49C797B6">
            <w:pPr>
              <w:pStyle w:val="TableRowCentered"/>
              <w:ind w:left="0" w:right="0"/>
              <w:jc w:val="left"/>
              <w:rPr>
                <w:sz w:val="22"/>
              </w:rPr>
            </w:pPr>
            <w:r w:rsidRPr="005C310E">
              <w:rPr>
                <w:sz w:val="22"/>
              </w:rPr>
              <w:t>1, 2, 4 and 7</w:t>
            </w:r>
          </w:p>
        </w:tc>
      </w:tr>
    </w:tbl>
    <w:p w:rsidR="00E66558" w:rsidRDefault="00E66558" w14:paraId="2A7D5540" w14:textId="77777777">
      <w:pPr>
        <w:spacing w:before="240" w:after="0"/>
        <w:rPr>
          <w:b/>
          <w:bCs/>
          <w:color w:val="104F75"/>
          <w:sz w:val="28"/>
          <w:szCs w:val="28"/>
        </w:rPr>
      </w:pPr>
    </w:p>
    <w:p w:rsidR="00E66558" w:rsidP="00120AB1" w:rsidRDefault="009D71E8" w14:paraId="2A7D5541" w14:textId="29E64379">
      <w:pPr>
        <w:rPr>
          <w:b/>
          <w:bCs/>
          <w:color w:val="104F75"/>
          <w:sz w:val="28"/>
          <w:szCs w:val="28"/>
        </w:rPr>
      </w:pPr>
      <w:r>
        <w:rPr>
          <w:b/>
          <w:bCs/>
          <w:color w:val="104F75"/>
          <w:sz w:val="28"/>
          <w:szCs w:val="28"/>
        </w:rPr>
        <w:t>Total budgeted cost: £</w:t>
      </w:r>
      <w:r w:rsidR="00ED666B">
        <w:rPr>
          <w:b/>
          <w:bCs/>
          <w:color w:val="104F75"/>
          <w:sz w:val="28"/>
          <w:szCs w:val="28"/>
        </w:rPr>
        <w:t>68,805</w:t>
      </w:r>
    </w:p>
    <w:p w:rsidRPr="00ED666B" w:rsidR="00ED666B" w:rsidP="00120AB1" w:rsidRDefault="00ED666B" w14:paraId="32105E45" w14:textId="4E4E4B6D">
      <w:r w:rsidRPr="00ED666B">
        <w:t>High-quality teaching</w:t>
      </w:r>
      <w:r w:rsidRPr="00ED666B">
        <w:t xml:space="preserve"> = £40,000 = 58.1%</w:t>
      </w:r>
    </w:p>
    <w:p w:rsidRPr="00ED666B" w:rsidR="00ED666B" w:rsidP="00120AB1" w:rsidRDefault="00ED666B" w14:paraId="0724F4E4" w14:textId="0332A0BE">
      <w:r w:rsidRPr="00ED666B">
        <w:t>Targeted academic support = £19,500= 13.5%</w:t>
      </w:r>
    </w:p>
    <w:p w:rsidRPr="00ED666B" w:rsidR="00ED666B" w:rsidP="00120AB1" w:rsidRDefault="00ED666B" w14:paraId="57714833" w14:textId="28B893B3">
      <w:pPr>
        <w:rPr>
          <w:color w:val="104F75"/>
          <w:sz w:val="28"/>
          <w:szCs w:val="28"/>
        </w:rPr>
      </w:pPr>
      <w:r w:rsidRPr="00ED666B">
        <w:t>Wider strategies = £9,305 = 13.5%</w:t>
      </w:r>
    </w:p>
    <w:p w:rsidR="00ED666B" w:rsidP="00ED666B" w:rsidRDefault="00ED666B" w14:paraId="1EAEF766" w14:textId="77777777">
      <w:pPr>
        <w:pStyle w:val="Heading2"/>
      </w:pPr>
      <w:r>
        <w:t>Monitoring, implementation and governance</w:t>
      </w:r>
    </w:p>
    <w:p w:rsidR="00ED666B" w:rsidP="00ED666B" w:rsidRDefault="00ED666B" w14:paraId="3955CBFD" w14:textId="77777777">
      <w:r>
        <w:t>The Headteacher and Senior Leadership Team will monitor implementation and impact through termly assessment, pupil progress meetings, work scrutiny, lesson observations and learning walks, intervention reviews, attendance analysis, pupil voice and participation data. Governors and trustees will receive appropriate information about the strategy, expenditure and outcomes.</w:t>
      </w:r>
    </w:p>
    <w:p w:rsidR="00ED666B" w:rsidP="00120AB1" w:rsidRDefault="00ED666B" w14:paraId="6EF92469" w14:textId="77777777"/>
    <w:p w:rsidRPr="00064366" w:rsidR="00E66558" w:rsidP="00064366" w:rsidRDefault="009D71E8" w14:paraId="2A7D5542" w14:textId="18352EC3">
      <w:pPr>
        <w:pStyle w:val="Heading1"/>
      </w:pPr>
      <w:r w:rsidRPr="00064366">
        <w:lastRenderedPageBreak/>
        <w:t>Part B: Review of the previous academic year</w:t>
      </w:r>
    </w:p>
    <w:p w:rsidR="008B6404" w:rsidP="00173D4C" w:rsidRDefault="00064366" w14:paraId="751285B7" w14:textId="72ACB452">
      <w:pPr>
        <w:pStyle w:val="Heading2"/>
      </w:pPr>
      <w:r w:rsidRPr="00173D4C">
        <w:t>Outcomes for disadvantaged pupils</w:t>
      </w:r>
    </w:p>
    <w:p w:rsidR="00ED666B" w:rsidP="00ED666B" w:rsidRDefault="00ED666B" w14:paraId="7E0AB189" w14:textId="77777777">
      <w:pPr>
        <w:pStyle w:val="Heading2"/>
      </w:pPr>
      <w:r>
        <w:t>Review of actual expenditure</w:t>
      </w:r>
    </w:p>
    <w:p w:rsidR="00ED666B" w:rsidP="00ED666B" w:rsidRDefault="00ED666B" w14:paraId="7B49DC17" w14:textId="77777777">
      <w:r>
        <w:t>The Pupil Premium allocation for 2025–2026 was £68,805. The school actually spent £72,865 on provision supporting disadvantaged pupils. This was £4,060 above the grant allocation and the additional expenditure was met from the school’s wider budget.</w:t>
      </w:r>
    </w:p>
    <w:p w:rsidR="00ED666B" w:rsidP="00ED666B" w:rsidRDefault="00ED666B" w14:paraId="5B8D50EB" w14:textId="77777777">
      <w:r>
        <w:t>The additional investment was a deliberate leadership decision to maintain provision judged to provide significant educational benefit to disadvantaged pupils. The school’s financial records should be retained as evidence of actual expenditure.</w:t>
      </w:r>
    </w:p>
    <w:p w:rsidR="00ED666B" w:rsidP="00ED666B" w:rsidRDefault="00ED666B" w14:paraId="57663D3B" w14:textId="77777777">
      <w:r>
        <w:t>A significant proportion of expenditure supported the 15-pupil English and Mathematics model. The school also subsidised educational visits, residential experiences and extracurricular clubs for disadvantaged pupils.</w:t>
      </w:r>
    </w:p>
    <w:p w:rsidR="00ED666B" w:rsidP="00ED666B" w:rsidRDefault="00ED666B" w14:paraId="0847F5ED" w14:textId="77777777">
      <w:pPr>
        <w:pStyle w:val="Heading2"/>
      </w:pPr>
      <w:r>
        <w:t>Impact and outcomes</w:t>
      </w:r>
    </w:p>
    <w:p w:rsidR="00ED666B" w:rsidP="00ED666B" w:rsidRDefault="00ED666B" w14:paraId="4BB23161" w14:textId="77777777">
      <w:r>
        <w:t>The previous school report recorded strong outcomes for disadvantaged pupils. In 2025, 100% of Year 6 Pupil Premium pupils achieved the expected standard in reading, with 83% achieving greater depth; 100% achieved the expected standard in mathematics, with 50% achieving greater depth; and 83% achieved the expected standard in writing.</w:t>
      </w:r>
    </w:p>
    <w:p w:rsidR="00ED666B" w:rsidP="00ED666B" w:rsidRDefault="00ED666B" w14:paraId="0E1D3D7E" w14:textId="77777777">
      <w:r>
        <w:t>In the Year 1 Phonics Screening Check, 100% of pupils eligible for Pupil Premium reached the expected standard.</w:t>
      </w:r>
    </w:p>
    <w:p w:rsidR="00ED666B" w:rsidP="00ED666B" w:rsidRDefault="00ED666B" w14:paraId="12CCC9CB" w14:textId="77777777">
      <w:r>
        <w:t>The school’s monitoring also identified accelerated progress for pupils regularly participating in Lexia. These outcomes support the continued focus on high-quality teaching and targeted support.</w:t>
      </w:r>
    </w:p>
    <w:p w:rsidR="00ED666B" w:rsidP="00ED666B" w:rsidRDefault="00ED666B" w14:paraId="55661B01" w14:textId="77777777">
      <w:pPr>
        <w:pStyle w:val="Heading2"/>
      </w:pPr>
      <w:r>
        <w:t>Evaluation of the 15-pupil model</w:t>
      </w:r>
    </w:p>
    <w:p w:rsidR="00ED666B" w:rsidP="00ED666B" w:rsidRDefault="00ED666B" w14:paraId="4926E049" w14:textId="77777777">
      <w:r>
        <w:t>The 15-pupil model has been retained because the school considers the additional qualified teacher capacity to improve the precision and responsiveness of teaching. Smaller groups provide increased opportunities for teacher interaction, questioning, feedback, identification of misconceptions, targeted support and appropriate challenge.</w:t>
      </w:r>
    </w:p>
    <w:p w:rsidR="00ED666B" w:rsidP="00ED666B" w:rsidRDefault="00ED666B" w14:paraId="73773213" w14:textId="77777777">
      <w:r>
        <w:t>The model will remain a central feature of the three-year strategy, subject to annual review of pupil outcomes, cohort need, staffing and value for money.</w:t>
      </w:r>
    </w:p>
    <w:p w:rsidR="00ED666B" w:rsidP="00ED666B" w:rsidRDefault="00ED666B" w14:paraId="3EC8EFC6" w14:textId="77777777">
      <w:pPr>
        <w:pStyle w:val="Heading2"/>
      </w:pPr>
      <w:r>
        <w:lastRenderedPageBreak/>
        <w:t>Evaluation of wider strategies</w:t>
      </w:r>
    </w:p>
    <w:p w:rsidR="00ED666B" w:rsidP="00ED666B" w:rsidRDefault="00ED666B" w14:paraId="3DA355EC" w14:textId="77777777">
      <w:r>
        <w:t>Subsidising clubs, educational visits and residential experiences reduced financial barriers to participation and enabled disadvantaged pupils to access the wider curriculum and enrichment opportunities alongside their peers. The school will continue to monitor participation and pupil voice as evidence of impact.</w:t>
      </w:r>
    </w:p>
    <w:p w:rsidR="00ED666B" w:rsidP="00ED666B" w:rsidRDefault="00ED666B" w14:paraId="3E241427" w14:textId="77777777">
      <w:pPr>
        <w:pStyle w:val="Heading2"/>
      </w:pPr>
      <w:r>
        <w:t>Next steps for 2026–2027</w:t>
      </w:r>
    </w:p>
    <w:p w:rsidR="00ED666B" w:rsidP="00ED666B" w:rsidRDefault="00ED666B" w14:paraId="0925F8B5" w14:textId="77777777">
      <w:pPr>
        <w:pStyle w:val="ListBullet"/>
        <w:tabs>
          <w:tab w:val="num" w:pos="360"/>
        </w:tabs>
        <w:suppressAutoHyphens w:val="0"/>
        <w:autoSpaceDN/>
        <w:spacing w:after="200" w:line="276" w:lineRule="auto"/>
        <w:ind w:left="360"/>
      </w:pPr>
      <w:r>
        <w:t>Continue the 15-pupil English and Mathematics teaching model.</w:t>
      </w:r>
    </w:p>
    <w:p w:rsidR="00ED666B" w:rsidP="00ED666B" w:rsidRDefault="00ED666B" w14:paraId="10C2F7BF" w14:textId="77777777">
      <w:pPr>
        <w:pStyle w:val="ListBullet"/>
        <w:tabs>
          <w:tab w:val="num" w:pos="360"/>
        </w:tabs>
        <w:suppressAutoHyphens w:val="0"/>
        <w:autoSpaceDN/>
        <w:spacing w:after="200" w:line="276" w:lineRule="auto"/>
        <w:ind w:left="360"/>
      </w:pPr>
      <w:r>
        <w:t>Continue targeted academic interventions and review their impact through assessment.</w:t>
      </w:r>
    </w:p>
    <w:p w:rsidR="00ED666B" w:rsidP="00ED666B" w:rsidRDefault="00ED666B" w14:paraId="22A71283" w14:textId="77777777">
      <w:pPr>
        <w:pStyle w:val="ListBullet"/>
        <w:tabs>
          <w:tab w:val="num" w:pos="360"/>
        </w:tabs>
        <w:suppressAutoHyphens w:val="0"/>
        <w:autoSpaceDN/>
        <w:spacing w:after="200" w:line="276" w:lineRule="auto"/>
        <w:ind w:left="360"/>
      </w:pPr>
      <w:r>
        <w:t>Continue financial support for educational visits and residential experiences.</w:t>
      </w:r>
    </w:p>
    <w:p w:rsidR="00ED666B" w:rsidP="00ED666B" w:rsidRDefault="00ED666B" w14:paraId="7E7DE0EF" w14:textId="77777777">
      <w:pPr>
        <w:pStyle w:val="ListBullet"/>
        <w:tabs>
          <w:tab w:val="num" w:pos="360"/>
        </w:tabs>
        <w:suppressAutoHyphens w:val="0"/>
        <w:autoSpaceDN/>
        <w:spacing w:after="200" w:line="276" w:lineRule="auto"/>
        <w:ind w:left="360"/>
      </w:pPr>
      <w:r>
        <w:t>Continue subsidised extracurricular club access.</w:t>
      </w:r>
    </w:p>
    <w:p w:rsidR="00ED666B" w:rsidP="00ED666B" w:rsidRDefault="00ED666B" w14:paraId="3E2B3D9D" w14:textId="77777777">
      <w:pPr>
        <w:pStyle w:val="ListBullet"/>
        <w:tabs>
          <w:tab w:val="num" w:pos="360"/>
        </w:tabs>
        <w:suppressAutoHyphens w:val="0"/>
        <w:autoSpaceDN/>
        <w:spacing w:after="200" w:line="276" w:lineRule="auto"/>
        <w:ind w:left="360"/>
      </w:pPr>
      <w:r>
        <w:t>Maintain close monitoring of attendance and pastoral barriers.</w:t>
      </w:r>
    </w:p>
    <w:p w:rsidR="00ED666B" w:rsidP="00ED666B" w:rsidRDefault="00ED666B" w14:paraId="1BE79591" w14:textId="77777777">
      <w:pPr>
        <w:pStyle w:val="ListBullet"/>
        <w:tabs>
          <w:tab w:val="num" w:pos="360"/>
        </w:tabs>
        <w:suppressAutoHyphens w:val="0"/>
        <w:autoSpaceDN/>
        <w:spacing w:after="200" w:line="276" w:lineRule="auto"/>
        <w:ind w:left="360"/>
      </w:pPr>
      <w:r>
        <w:t>Use termly assessment and pupil progress information to refine provision.</w:t>
      </w:r>
    </w:p>
    <w:p w:rsidR="00D057AE" w:rsidP="00ED666B" w:rsidRDefault="00ED666B" w14:paraId="44CABD28" w14:textId="77777777">
      <w:pPr>
        <w:pStyle w:val="ListBullet"/>
        <w:tabs>
          <w:tab w:val="num" w:pos="360"/>
        </w:tabs>
        <w:suppressAutoHyphens w:val="0"/>
        <w:autoSpaceDN/>
        <w:spacing w:after="200" w:line="276" w:lineRule="auto"/>
        <w:ind w:left="360"/>
      </w:pPr>
      <w:r>
        <w:t>Review expenditure and educational impact to ensure value for money.</w:t>
      </w:r>
    </w:p>
    <w:p w:rsidR="00D057AE" w:rsidP="00D057AE" w:rsidRDefault="00D057AE" w14:paraId="6DE0E308" w14:textId="77777777">
      <w:pPr>
        <w:pStyle w:val="ListBullet"/>
        <w:numPr>
          <w:ilvl w:val="0"/>
          <w:numId w:val="0"/>
        </w:numPr>
        <w:tabs>
          <w:tab w:val="num" w:pos="360"/>
        </w:tabs>
        <w:suppressAutoHyphens w:val="0"/>
        <w:autoSpaceDN/>
        <w:spacing w:after="200" w:line="276" w:lineRule="auto"/>
        <w:ind w:left="360"/>
      </w:pPr>
    </w:p>
    <w:p w:rsidRPr="00D057AE" w:rsidR="00ED666B" w:rsidP="00D057AE" w:rsidRDefault="00ED666B" w14:paraId="2072B4B2" w14:textId="30C76E58">
      <w:pPr>
        <w:pStyle w:val="ListBullet"/>
        <w:numPr>
          <w:ilvl w:val="0"/>
          <w:numId w:val="0"/>
        </w:numPr>
        <w:suppressAutoHyphens w:val="0"/>
        <w:autoSpaceDN/>
        <w:spacing w:after="200" w:line="276" w:lineRule="auto"/>
        <w:rPr>
          <w:b/>
          <w:color w:val="104F75"/>
          <w:sz w:val="32"/>
          <w:szCs w:val="32"/>
        </w:rPr>
      </w:pPr>
      <w:r w:rsidRPr="00D057AE">
        <w:rPr>
          <w:b/>
          <w:color w:val="104F75"/>
          <w:sz w:val="32"/>
          <w:szCs w:val="32"/>
        </w:rPr>
        <w:t>Three-year strategy: annual review</w:t>
      </w:r>
    </w:p>
    <w:p w:rsidR="00D057AE" w:rsidP="00D057AE" w:rsidRDefault="00ED666B" w14:paraId="73997724" w14:textId="77777777">
      <w:r>
        <w:t>Although the school has adopted a three-year strategy from 2025–2026 to 2027–2028, the statement will be reviewed and updated annually. Each annual version will report the activity funded in the current academic year and the outcomes achieved by disadvantaged pupils in the previous academic year, in accordance with DfE guidance.</w:t>
      </w:r>
    </w:p>
    <w:p w:rsidRPr="00D057AE" w:rsidR="00ED666B" w:rsidP="00D057AE" w:rsidRDefault="00ED666B" w14:paraId="46D83C23" w14:textId="53B576C0">
      <w:pPr>
        <w:rPr>
          <w:b/>
          <w:color w:val="104F75"/>
          <w:sz w:val="32"/>
          <w:szCs w:val="32"/>
        </w:rPr>
      </w:pPr>
      <w:r w:rsidRPr="00D057AE">
        <w:rPr>
          <w:b/>
          <w:color w:val="104F75"/>
          <w:sz w:val="32"/>
          <w:szCs w:val="32"/>
        </w:rPr>
        <w:t>Further information</w:t>
      </w:r>
    </w:p>
    <w:p w:rsidR="00ED666B" w:rsidP="00ED666B" w:rsidRDefault="00ED666B" w14:paraId="7087DEDB" w14:textId="77777777">
      <w:r>
        <w:t>This strategy forms part of the school’s wider school improvement approach. Pupil Premium eligibility is not treated as a predictor of low attainment. The school maintains high expectations for all disadvantaged pupils and uses evidence, assessment and professional knowledge to identify and remove barriers to success.</w:t>
      </w:r>
    </w:p>
    <w:p w:rsidR="00E66558" w:rsidP="00A82A98" w:rsidRDefault="006D6372" w14:paraId="2A7D5548" w14:textId="0199D85C">
      <w:pPr>
        <w:pStyle w:val="Heading2"/>
      </w:pPr>
      <w:r>
        <w:t>E</w:t>
      </w:r>
      <w:r w:rsidR="009D71E8">
        <w:t xml:space="preserve">xternally provided </w:t>
      </w:r>
      <w:r w:rsidRPr="00781713" w:rsidR="009D71E8">
        <w:t>programmes</w:t>
      </w:r>
    </w:p>
    <w:p w:rsidR="00E66558" w:rsidP="07FFD3D3" w:rsidRDefault="0B240EAF" w14:paraId="2A7D5549" w14:textId="6982BE0C">
      <w:pPr>
        <w:rPr>
          <w:i/>
          <w:iCs/>
        </w:rPr>
      </w:pPr>
      <w:r w:rsidRPr="07FFD3D3">
        <w:rPr>
          <w:i/>
          <w:iCs/>
        </w:rPr>
        <w:t xml:space="preserve">Please include the names of any non-DfE programmes that you </w:t>
      </w:r>
      <w:r w:rsidRPr="07FFD3D3" w:rsidR="491E3A64">
        <w:rPr>
          <w:i/>
          <w:iCs/>
        </w:rPr>
        <w:t xml:space="preserve">used your pupil premium to fund </w:t>
      </w:r>
      <w:r w:rsidRPr="07FFD3D3">
        <w:rPr>
          <w:i/>
          <w:iCs/>
        </w:rPr>
        <w:t xml:space="preserve">in the previous academic year. </w:t>
      </w:r>
    </w:p>
    <w:tbl>
      <w:tblPr>
        <w:tblW w:w="5000" w:type="pct"/>
        <w:tblCellMar>
          <w:left w:w="10" w:type="dxa"/>
          <w:right w:w="10" w:type="dxa"/>
        </w:tblCellMar>
        <w:tblLook w:val="04A0" w:firstRow="1" w:lastRow="0" w:firstColumn="1" w:lastColumn="0" w:noHBand="0" w:noVBand="1"/>
      </w:tblPr>
      <w:tblGrid>
        <w:gridCol w:w="4815"/>
        <w:gridCol w:w="4671"/>
      </w:tblGrid>
      <w:tr w:rsidR="00E66558" w:rsidTr="00CA4421" w14:paraId="2A7D554C" w14:textId="77777777">
        <w:tc>
          <w:tcPr>
            <w:tcW w:w="4815" w:type="dxa"/>
            <w:tcBorders>
              <w:top w:val="single" w:color="000000" w:sz="4" w:space="0"/>
              <w:left w:val="single" w:color="000000" w:sz="4" w:space="0"/>
              <w:bottom w:val="single" w:color="000000" w:sz="4" w:space="0"/>
              <w:right w:val="single" w:color="000000" w:sz="4" w:space="0"/>
            </w:tcBorders>
            <w:shd w:val="clear" w:color="auto" w:fill="CFDCE3"/>
            <w:tcMar>
              <w:top w:w="0" w:type="dxa"/>
              <w:left w:w="108" w:type="dxa"/>
              <w:bottom w:w="0" w:type="dxa"/>
              <w:right w:w="108" w:type="dxa"/>
            </w:tcMar>
          </w:tcPr>
          <w:p w:rsidR="00E66558" w:rsidP="00F54FCB" w:rsidRDefault="009D71E8" w14:paraId="2A7D554A" w14:textId="77777777">
            <w:pPr>
              <w:pStyle w:val="TableHeader"/>
              <w:ind w:left="0" w:right="0"/>
              <w:jc w:val="left"/>
            </w:pPr>
            <w:r>
              <w:t>Programme</w:t>
            </w:r>
          </w:p>
        </w:tc>
        <w:tc>
          <w:tcPr>
            <w:tcW w:w="4671" w:type="dxa"/>
            <w:tcBorders>
              <w:top w:val="single" w:color="000000" w:sz="4" w:space="0"/>
              <w:left w:val="single" w:color="000000" w:sz="4" w:space="0"/>
              <w:bottom w:val="single" w:color="000000" w:sz="4" w:space="0"/>
              <w:right w:val="single" w:color="000000" w:sz="4" w:space="0"/>
            </w:tcBorders>
            <w:shd w:val="clear" w:color="auto" w:fill="CFDCE3"/>
            <w:tcMar>
              <w:top w:w="0" w:type="dxa"/>
              <w:left w:w="108" w:type="dxa"/>
              <w:bottom w:w="0" w:type="dxa"/>
              <w:right w:w="108" w:type="dxa"/>
            </w:tcMar>
          </w:tcPr>
          <w:p w:rsidR="00E66558" w:rsidP="00F54FCB" w:rsidRDefault="009D71E8" w14:paraId="2A7D554B" w14:textId="77777777">
            <w:pPr>
              <w:pStyle w:val="TableHeader"/>
              <w:ind w:left="0" w:right="0"/>
              <w:jc w:val="left"/>
            </w:pPr>
            <w:r>
              <w:t>Provider</w:t>
            </w:r>
          </w:p>
        </w:tc>
      </w:tr>
      <w:tr w:rsidR="00E66558" w14:paraId="2A7D554F" w14:textId="77777777">
        <w:tc>
          <w:tcPr>
            <w:tcW w:w="481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E66558" w:rsidP="00F54FCB" w:rsidRDefault="00D057AE" w14:paraId="2A7D554D" w14:textId="405C94AF">
            <w:pPr>
              <w:pStyle w:val="TableRow"/>
              <w:ind w:left="0" w:right="0"/>
            </w:pPr>
            <w:r>
              <w:t>Lexia</w:t>
            </w:r>
          </w:p>
        </w:tc>
        <w:tc>
          <w:tcPr>
            <w:tcW w:w="467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E66558" w:rsidP="00F54FCB" w:rsidRDefault="00D057AE" w14:paraId="2A7D554E" w14:textId="0BE694CD">
            <w:pPr>
              <w:pStyle w:val="TableRowCentered"/>
              <w:ind w:left="0" w:right="0"/>
              <w:jc w:val="left"/>
            </w:pPr>
            <w:r>
              <w:t>Lexia Learning Systems LLC / Lexia UK</w:t>
            </w:r>
          </w:p>
        </w:tc>
      </w:tr>
      <w:tr w:rsidR="00E66558" w14:paraId="2A7D5552" w14:textId="77777777">
        <w:tc>
          <w:tcPr>
            <w:tcW w:w="481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E66558" w:rsidP="00F54FCB" w:rsidRDefault="00D057AE" w14:paraId="2A7D5550" w14:textId="43069001">
            <w:pPr>
              <w:pStyle w:val="TableRow"/>
              <w:ind w:left="0" w:right="0"/>
            </w:pPr>
            <w:r>
              <w:t>Reading Plus</w:t>
            </w:r>
          </w:p>
        </w:tc>
        <w:tc>
          <w:tcPr>
            <w:tcW w:w="467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E66558" w:rsidP="00F54FCB" w:rsidRDefault="00D057AE" w14:paraId="2A7D5551" w14:textId="1BA37C5C">
            <w:pPr>
              <w:pStyle w:val="TableRowCentered"/>
              <w:ind w:left="0" w:right="0"/>
              <w:jc w:val="left"/>
            </w:pPr>
            <w:r>
              <w:t>Reading Plus / Lexia</w:t>
            </w:r>
          </w:p>
        </w:tc>
      </w:tr>
      <w:tr w:rsidR="00D057AE" w14:paraId="66FC4A56" w14:textId="77777777">
        <w:tc>
          <w:tcPr>
            <w:tcW w:w="481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D057AE" w:rsidP="00F54FCB" w:rsidRDefault="00D057AE" w14:paraId="6C5E6BAF" w14:textId="15564BE7">
            <w:pPr>
              <w:pStyle w:val="TableRow"/>
              <w:ind w:left="0" w:right="0"/>
            </w:pPr>
            <w:r>
              <w:t>Maths Seeds</w:t>
            </w:r>
          </w:p>
        </w:tc>
        <w:tc>
          <w:tcPr>
            <w:tcW w:w="467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D057AE" w:rsidP="00F54FCB" w:rsidRDefault="00D057AE" w14:paraId="7D55FDF3" w14:textId="262F4DC4">
            <w:pPr>
              <w:pStyle w:val="TableRowCentered"/>
              <w:ind w:left="0" w:right="0"/>
              <w:jc w:val="left"/>
            </w:pPr>
            <w:r>
              <w:t>Blake eLearning</w:t>
            </w:r>
          </w:p>
        </w:tc>
      </w:tr>
    </w:tbl>
    <w:p w:rsidR="00E66558" w:rsidRDefault="00E66558" w14:paraId="2A7D555F" w14:textId="77777777">
      <w:pPr>
        <w:spacing w:after="0" w:line="240" w:lineRule="auto"/>
      </w:pPr>
    </w:p>
    <w:p w:rsidR="00E66558" w:rsidRDefault="009D71E8" w14:paraId="2A7D5560" w14:textId="77777777">
      <w:pPr>
        <w:pStyle w:val="Heading1"/>
      </w:pPr>
      <w:r>
        <w:lastRenderedPageBreak/>
        <w:t>Further information (optional)</w:t>
      </w:r>
    </w:p>
    <w:tbl>
      <w:tblPr>
        <w:tblW w:w="9486" w:type="dxa"/>
        <w:tblCellMar>
          <w:left w:w="10" w:type="dxa"/>
          <w:right w:w="10" w:type="dxa"/>
        </w:tblCellMar>
        <w:tblLook w:val="04A0" w:firstRow="1" w:lastRow="0" w:firstColumn="1" w:lastColumn="0" w:noHBand="0" w:noVBand="1"/>
      </w:tblPr>
      <w:tblGrid>
        <w:gridCol w:w="9486"/>
      </w:tblGrid>
      <w:tr w:rsidR="00E66558" w:rsidTr="5888AA88" w14:paraId="2A7D5563" w14:textId="77777777">
        <w:tc>
          <w:tcPr>
            <w:tcW w:w="948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D057AE" w:rsidR="00D057AE" w:rsidP="5888AA88" w:rsidRDefault="00D057AE" w14:paraId="7AF1941B" w14:textId="0F98ADD7">
            <w:pPr>
              <w:pStyle w:val="ListParagraph"/>
              <w:spacing w:before="120" w:after="120"/>
              <w:rPr>
                <w:rFonts w:cs="Arial"/>
              </w:rPr>
            </w:pPr>
            <w:r w:rsidRPr="5888AA88" w:rsidR="6353B5E6">
              <w:rPr>
                <w:rFonts w:cs="Arial"/>
              </w:rPr>
              <w:t xml:space="preserve">At Culcheth Community Primary School, our Pupil Premium strategy forms part of our wider whole-school approach to improving outcomes and removing barriers for disadvantaged pupils. The strategy is reviewed regularly by school leaders and is informed by assessment information, pupil progress meetings, attendance data, teacher assessment, intervention outcomes, pupil voice and our knowledge of individual pupils and their circumstances. Provision is adapted throughout the year where evidence </w:t>
            </w:r>
            <w:r w:rsidRPr="5888AA88" w:rsidR="6353B5E6">
              <w:rPr>
                <w:rFonts w:cs="Arial"/>
              </w:rPr>
              <w:t>indicates</w:t>
            </w:r>
            <w:r w:rsidRPr="5888AA88" w:rsidR="6353B5E6">
              <w:rPr>
                <w:rFonts w:cs="Arial"/>
              </w:rPr>
              <w:t xml:space="preserve"> that a different approach or </w:t>
            </w:r>
            <w:r w:rsidRPr="5888AA88" w:rsidR="6353B5E6">
              <w:rPr>
                <w:rFonts w:cs="Arial"/>
              </w:rPr>
              <w:t>additional</w:t>
            </w:r>
            <w:r w:rsidRPr="5888AA88" w:rsidR="6353B5E6">
              <w:rPr>
                <w:rFonts w:cs="Arial"/>
              </w:rPr>
              <w:t xml:space="preserve"> support is required.</w:t>
            </w:r>
          </w:p>
          <w:p w:rsidRPr="00D057AE" w:rsidR="00D057AE" w:rsidP="00D057AE" w:rsidRDefault="00D057AE" w14:paraId="20CBCEAA" w14:textId="77777777">
            <w:pPr>
              <w:numPr>
                <w:ilvl w:val="0"/>
                <w:numId w:val="1"/>
              </w:numPr>
              <w:spacing w:before="120" w:after="120"/>
              <w:rPr>
                <w:rFonts w:cs="Arial"/>
              </w:rPr>
            </w:pPr>
            <w:r w:rsidRPr="00D057AE">
              <w:rPr>
                <w:rFonts w:cs="Arial"/>
              </w:rPr>
              <w:t>Our approach is not limited to provision funded directly through Pupil Premium. Disadvantaged pupils benefit from the school's wider investment in high-quality teaching, curriculum development, SEND provision, pastoral support, attendance work, safeguarding, enrichment and extracurricular opportunities. The school is committed to ensuring that disadvantage does not result in lower expectations and that pupils who are eligible for Pupil Premium have full access to an ambitious curriculum and the wider opportunities available to all pupils.</w:t>
            </w:r>
          </w:p>
          <w:p w:rsidRPr="00D057AE" w:rsidR="00D057AE" w:rsidP="00D057AE" w:rsidRDefault="00D057AE" w14:paraId="45C4172A" w14:textId="77777777">
            <w:pPr>
              <w:numPr>
                <w:ilvl w:val="0"/>
                <w:numId w:val="1"/>
              </w:numPr>
              <w:spacing w:before="120" w:after="120"/>
              <w:rPr>
                <w:rFonts w:cs="Arial"/>
              </w:rPr>
            </w:pPr>
            <w:r w:rsidRPr="00D057AE">
              <w:rPr>
                <w:rFonts w:cs="Arial"/>
              </w:rPr>
              <w:t>A particular strength of our approach is the use of additional qualified teacher capacity to enable smaller teaching groups for English and Mathematics. The school has continued to invest in this provision because we believe that it enables teachers to know pupils well, respond more precisely to individual needs and provide appropriate support and challenge. The impact of this approach is evaluated through pupil progress, attainment, classroom monitoring and pupil voice.</w:t>
            </w:r>
          </w:p>
          <w:p w:rsidRPr="00D057AE" w:rsidR="00D057AE" w:rsidP="00D057AE" w:rsidRDefault="00D057AE" w14:paraId="0EB98412" w14:textId="77777777">
            <w:pPr>
              <w:numPr>
                <w:ilvl w:val="0"/>
                <w:numId w:val="1"/>
              </w:numPr>
              <w:spacing w:before="120" w:after="120"/>
              <w:rPr>
                <w:rFonts w:cs="Arial"/>
              </w:rPr>
            </w:pPr>
            <w:r w:rsidRPr="00D057AE">
              <w:rPr>
                <w:rFonts w:cs="Arial"/>
              </w:rPr>
              <w:t xml:space="preserve">The school also recognises that successful outcomes for disadvantaged pupils depend upon strong relationships between school and home. Staff work closely with families where barriers to attendance, engagement, learning or participation are identified. Where appropriate, the </w:t>
            </w:r>
            <w:proofErr w:type="gramStart"/>
            <w:r w:rsidRPr="00D057AE">
              <w:rPr>
                <w:rFonts w:cs="Arial"/>
              </w:rPr>
              <w:t>school works</w:t>
            </w:r>
            <w:proofErr w:type="gramEnd"/>
            <w:r w:rsidRPr="00D057AE">
              <w:rPr>
                <w:rFonts w:cs="Arial"/>
              </w:rPr>
              <w:t xml:space="preserve"> with external agencies and wider professionals to ensure that pupils and families receive appropriate support.</w:t>
            </w:r>
          </w:p>
          <w:p w:rsidRPr="00AA355B" w:rsidR="00E66558" w:rsidRDefault="00D057AE" w14:paraId="2A7D5562" w14:textId="583EA549">
            <w:pPr>
              <w:spacing w:before="120" w:after="120"/>
              <w:rPr>
                <w:rFonts w:cs="Arial"/>
                <w:i/>
                <w:iCs/>
              </w:rPr>
            </w:pPr>
            <w:r w:rsidRPr="00D057AE">
              <w:rPr>
                <w:rFonts w:cs="Arial"/>
              </w:rPr>
              <w:t>The three-year strategy covering 2025–2026 to 2027–2028 will be reviewed annually. Each annual review will consider the impact of the provision, the progress and attainment of disadvantaged pupils, attendance and participation, and the value for money of the approaches being used. This will ensure that the strategy remains responsive to the changing needs of the school's disadvantaged cohort.</w:t>
            </w:r>
          </w:p>
        </w:tc>
      </w:tr>
      <w:bookmarkEnd w:id="14"/>
      <w:bookmarkEnd w:id="15"/>
      <w:bookmarkEnd w:id="16"/>
    </w:tbl>
    <w:p w:rsidR="00E66558" w:rsidRDefault="00E66558" w14:paraId="2A7D5564" w14:textId="77777777"/>
    <w:sectPr w:rsidR="00E66558">
      <w:headerReference w:type="default" r:id="rId10"/>
      <w:footerReference w:type="default" r:id="rId11"/>
      <w:pgSz w:w="11906" w:h="16838" w:orient="portrait"/>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D7F67" w:rsidRDefault="00ED7F67" w14:paraId="58EE9DAA" w14:textId="77777777">
      <w:pPr>
        <w:spacing w:after="0" w:line="240" w:lineRule="auto"/>
      </w:pPr>
      <w:r>
        <w:separator/>
      </w:r>
    </w:p>
  </w:endnote>
  <w:endnote w:type="continuationSeparator" w:id="0">
    <w:p w:rsidR="00ED7F67" w:rsidRDefault="00ED7F67" w14:paraId="49172615" w14:textId="77777777">
      <w:pPr>
        <w:spacing w:after="0" w:line="240" w:lineRule="auto"/>
      </w:pPr>
      <w:r>
        <w:continuationSeparator/>
      </w:r>
    </w:p>
  </w:endnote>
  <w:endnote w:type="continuationNotice" w:id="1">
    <w:p w:rsidR="00ED7F67" w:rsidRDefault="00ED7F67" w14:paraId="223D1AB4"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373EA" w:rsidRDefault="009D71E8" w14:paraId="2A7D54BE" w14:textId="77777777">
    <w:pPr>
      <w:pStyle w:val="Footer"/>
      <w:ind w:firstLine="4513"/>
    </w:pPr>
    <w:r>
      <w:fldChar w:fldCharType="begin"/>
    </w:r>
    <w:r>
      <w:instrText xml:space="preserve"> PAGE </w:instrText>
    </w:r>
    <w:r>
      <w:fldChar w:fldCharType="separate"/>
    </w:r>
    <w: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D7F67" w:rsidRDefault="00ED7F67" w14:paraId="6D4E4020" w14:textId="77777777">
      <w:pPr>
        <w:spacing w:after="0" w:line="240" w:lineRule="auto"/>
      </w:pPr>
      <w:r>
        <w:separator/>
      </w:r>
    </w:p>
  </w:footnote>
  <w:footnote w:type="continuationSeparator" w:id="0">
    <w:p w:rsidR="00ED7F67" w:rsidRDefault="00ED7F67" w14:paraId="695C3974" w14:textId="77777777">
      <w:pPr>
        <w:spacing w:after="0" w:line="240" w:lineRule="auto"/>
      </w:pPr>
      <w:r>
        <w:continuationSeparator/>
      </w:r>
    </w:p>
  </w:footnote>
  <w:footnote w:type="continuationNotice" w:id="1">
    <w:p w:rsidR="00ED7F67" w:rsidRDefault="00ED7F67" w14:paraId="4D24E88A"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373EA" w:rsidRDefault="00C373EA" w14:paraId="2A7D54B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1" w15:restartNumberingAfterBreak="0">
    <w:nsid w:val="1499761E"/>
    <w:multiLevelType w:val="multilevel"/>
    <w:tmpl w:val="6C86EF6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17F36A23"/>
    <w:multiLevelType w:val="hybridMultilevel"/>
    <w:tmpl w:val="2E942A06"/>
    <w:lvl w:ilvl="0" w:tplc="7D905DAC">
      <w:start w:val="1"/>
      <w:numFmt w:val="decimal"/>
      <w:lvlText w:val="%1."/>
      <w:lvlJc w:val="left"/>
      <w:pPr>
        <w:ind w:left="1020" w:hanging="360"/>
      </w:pPr>
    </w:lvl>
    <w:lvl w:ilvl="1" w:tplc="E46A73AC">
      <w:start w:val="1"/>
      <w:numFmt w:val="decimal"/>
      <w:lvlText w:val="%2."/>
      <w:lvlJc w:val="left"/>
      <w:pPr>
        <w:ind w:left="1020" w:hanging="360"/>
      </w:pPr>
    </w:lvl>
    <w:lvl w:ilvl="2" w:tplc="1D7EF400">
      <w:start w:val="1"/>
      <w:numFmt w:val="decimal"/>
      <w:lvlText w:val="%3."/>
      <w:lvlJc w:val="left"/>
      <w:pPr>
        <w:ind w:left="1020" w:hanging="360"/>
      </w:pPr>
    </w:lvl>
    <w:lvl w:ilvl="3" w:tplc="25F47FF4">
      <w:start w:val="1"/>
      <w:numFmt w:val="decimal"/>
      <w:lvlText w:val="%4."/>
      <w:lvlJc w:val="left"/>
      <w:pPr>
        <w:ind w:left="1020" w:hanging="360"/>
      </w:pPr>
    </w:lvl>
    <w:lvl w:ilvl="4" w:tplc="3A4E2C48">
      <w:start w:val="1"/>
      <w:numFmt w:val="decimal"/>
      <w:lvlText w:val="%5."/>
      <w:lvlJc w:val="left"/>
      <w:pPr>
        <w:ind w:left="1020" w:hanging="360"/>
      </w:pPr>
    </w:lvl>
    <w:lvl w:ilvl="5" w:tplc="3E128F6E">
      <w:start w:val="1"/>
      <w:numFmt w:val="decimal"/>
      <w:lvlText w:val="%6."/>
      <w:lvlJc w:val="left"/>
      <w:pPr>
        <w:ind w:left="1020" w:hanging="360"/>
      </w:pPr>
    </w:lvl>
    <w:lvl w:ilvl="6" w:tplc="DBF6F8CE">
      <w:start w:val="1"/>
      <w:numFmt w:val="decimal"/>
      <w:lvlText w:val="%7."/>
      <w:lvlJc w:val="left"/>
      <w:pPr>
        <w:ind w:left="1020" w:hanging="360"/>
      </w:pPr>
    </w:lvl>
    <w:lvl w:ilvl="7" w:tplc="9E34E108">
      <w:start w:val="1"/>
      <w:numFmt w:val="decimal"/>
      <w:lvlText w:val="%8."/>
      <w:lvlJc w:val="left"/>
      <w:pPr>
        <w:ind w:left="1020" w:hanging="360"/>
      </w:pPr>
    </w:lvl>
    <w:lvl w:ilvl="8" w:tplc="90767D7C">
      <w:start w:val="1"/>
      <w:numFmt w:val="decimal"/>
      <w:lvlText w:val="%9."/>
      <w:lvlJc w:val="left"/>
      <w:pPr>
        <w:ind w:left="1020" w:hanging="360"/>
      </w:pPr>
    </w:lvl>
  </w:abstractNum>
  <w:abstractNum w:abstractNumId="3" w15:restartNumberingAfterBreak="0">
    <w:nsid w:val="1E240C3D"/>
    <w:multiLevelType w:val="hybridMultilevel"/>
    <w:tmpl w:val="6E5EA584"/>
    <w:lvl w:ilvl="0" w:tplc="3446E8C8">
      <w:start w:val="1"/>
      <w:numFmt w:val="decimal"/>
      <w:lvlText w:val="%1."/>
      <w:lvlJc w:val="left"/>
      <w:pPr>
        <w:ind w:left="1020" w:hanging="360"/>
      </w:pPr>
    </w:lvl>
    <w:lvl w:ilvl="1" w:tplc="F0D84BFC">
      <w:start w:val="1"/>
      <w:numFmt w:val="decimal"/>
      <w:lvlText w:val="%2."/>
      <w:lvlJc w:val="left"/>
      <w:pPr>
        <w:ind w:left="1020" w:hanging="360"/>
      </w:pPr>
    </w:lvl>
    <w:lvl w:ilvl="2" w:tplc="50A644D0">
      <w:start w:val="1"/>
      <w:numFmt w:val="decimal"/>
      <w:lvlText w:val="%3."/>
      <w:lvlJc w:val="left"/>
      <w:pPr>
        <w:ind w:left="1020" w:hanging="360"/>
      </w:pPr>
    </w:lvl>
    <w:lvl w:ilvl="3" w:tplc="6F825C02">
      <w:start w:val="1"/>
      <w:numFmt w:val="decimal"/>
      <w:lvlText w:val="%4."/>
      <w:lvlJc w:val="left"/>
      <w:pPr>
        <w:ind w:left="1020" w:hanging="360"/>
      </w:pPr>
    </w:lvl>
    <w:lvl w:ilvl="4" w:tplc="3744AF80">
      <w:start w:val="1"/>
      <w:numFmt w:val="decimal"/>
      <w:lvlText w:val="%5."/>
      <w:lvlJc w:val="left"/>
      <w:pPr>
        <w:ind w:left="1020" w:hanging="360"/>
      </w:pPr>
    </w:lvl>
    <w:lvl w:ilvl="5" w:tplc="65CCB1A2">
      <w:start w:val="1"/>
      <w:numFmt w:val="decimal"/>
      <w:lvlText w:val="%6."/>
      <w:lvlJc w:val="left"/>
      <w:pPr>
        <w:ind w:left="1020" w:hanging="360"/>
      </w:pPr>
    </w:lvl>
    <w:lvl w:ilvl="6" w:tplc="1146F358">
      <w:start w:val="1"/>
      <w:numFmt w:val="decimal"/>
      <w:lvlText w:val="%7."/>
      <w:lvlJc w:val="left"/>
      <w:pPr>
        <w:ind w:left="1020" w:hanging="360"/>
      </w:pPr>
    </w:lvl>
    <w:lvl w:ilvl="7" w:tplc="FFCA9F62">
      <w:start w:val="1"/>
      <w:numFmt w:val="decimal"/>
      <w:lvlText w:val="%8."/>
      <w:lvlJc w:val="left"/>
      <w:pPr>
        <w:ind w:left="1020" w:hanging="360"/>
      </w:pPr>
    </w:lvl>
    <w:lvl w:ilvl="8" w:tplc="FF0283CC">
      <w:start w:val="1"/>
      <w:numFmt w:val="decimal"/>
      <w:lvlText w:val="%9."/>
      <w:lvlJc w:val="left"/>
      <w:pPr>
        <w:ind w:left="1020" w:hanging="360"/>
      </w:pPr>
    </w:lvl>
  </w:abstractNum>
  <w:abstractNum w:abstractNumId="4" w15:restartNumberingAfterBreak="0">
    <w:nsid w:val="1FCE693E"/>
    <w:multiLevelType w:val="multilevel"/>
    <w:tmpl w:val="55DC33DE"/>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212E2A8F"/>
    <w:multiLevelType w:val="multilevel"/>
    <w:tmpl w:val="D2FCC3E6"/>
    <w:styleLink w:val="LFO34"/>
    <w:lvl w:ilvl="0">
      <w:start w:val="1"/>
      <w:numFmt w:val="decimal"/>
      <w:pStyle w:val="Dept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rPr>
        <w:rFonts w:ascii="Arial" w:hAnsi="Arial"/>
        <w:color w:val="auto"/>
        <w:sz w:val="22"/>
        <w:szCs w:val="22"/>
      </w:r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6" w15:restartNumberingAfterBreak="0">
    <w:nsid w:val="25265E8B"/>
    <w:multiLevelType w:val="multilevel"/>
    <w:tmpl w:val="B024EA62"/>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 w15:restartNumberingAfterBreak="0">
    <w:nsid w:val="26D7422D"/>
    <w:multiLevelType w:val="multilevel"/>
    <w:tmpl w:val="D14605B6"/>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8" w15:restartNumberingAfterBreak="0">
    <w:nsid w:val="2F3F4978"/>
    <w:multiLevelType w:val="multilevel"/>
    <w:tmpl w:val="A296BC9C"/>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3FE9198B"/>
    <w:multiLevelType w:val="multilevel"/>
    <w:tmpl w:val="2A508BBA"/>
    <w:styleLink w:val="LFO9"/>
    <w:lvl w:ilvl="0">
      <w:numFmt w:val="bullet"/>
      <w:pStyle w:val="ListBullet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 w15:restartNumberingAfterBreak="0">
    <w:nsid w:val="437A60BB"/>
    <w:multiLevelType w:val="hybridMultilevel"/>
    <w:tmpl w:val="4A4247AE"/>
    <w:lvl w:ilvl="0" w:tplc="2ED40268">
      <w:start w:val="1"/>
      <w:numFmt w:val="bullet"/>
      <w:lvlText w:val=""/>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473D2738"/>
    <w:multiLevelType w:val="hybridMultilevel"/>
    <w:tmpl w:val="66BA45C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5FDF3112"/>
    <w:multiLevelType w:val="multilevel"/>
    <w:tmpl w:val="9132B202"/>
    <w:lvl w:ilvl="0">
      <w:start w:val="1"/>
      <w:numFmt w:val="bullet"/>
      <w:lvlText w:val=""/>
      <w:lvlJc w:val="left"/>
      <w:pPr>
        <w:ind w:left="720" w:hanging="360"/>
      </w:pPr>
      <w:rPr>
        <w:rFonts w:hint="default"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68F37F9D"/>
    <w:multiLevelType w:val="multilevel"/>
    <w:tmpl w:val="DE90E1B2"/>
    <w:styleLink w:val="LFO10"/>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4" w15:restartNumberingAfterBreak="0">
    <w:nsid w:val="6BE87082"/>
    <w:multiLevelType w:val="multilevel"/>
    <w:tmpl w:val="14C2AA72"/>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15" w15:restartNumberingAfterBreak="0">
    <w:nsid w:val="719A5F31"/>
    <w:multiLevelType w:val="multilevel"/>
    <w:tmpl w:val="3B86DE2C"/>
    <w:styleLink w:val="LFO28"/>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6" w15:restartNumberingAfterBreak="0">
    <w:nsid w:val="71A22097"/>
    <w:multiLevelType w:val="multilevel"/>
    <w:tmpl w:val="009E2204"/>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7" w15:restartNumberingAfterBreak="0">
    <w:nsid w:val="75CE2048"/>
    <w:multiLevelType w:val="multilevel"/>
    <w:tmpl w:val="2E54C3FA"/>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94711259">
    <w:abstractNumId w:val="6"/>
  </w:num>
  <w:num w:numId="2" w16cid:durableId="1628730595">
    <w:abstractNumId w:val="4"/>
  </w:num>
  <w:num w:numId="3" w16cid:durableId="497188144">
    <w:abstractNumId w:val="7"/>
  </w:num>
  <w:num w:numId="4" w16cid:durableId="1138914232">
    <w:abstractNumId w:val="8"/>
  </w:num>
  <w:num w:numId="5" w16cid:durableId="857932188">
    <w:abstractNumId w:val="1"/>
  </w:num>
  <w:num w:numId="6" w16cid:durableId="798501009">
    <w:abstractNumId w:val="9"/>
  </w:num>
  <w:num w:numId="7" w16cid:durableId="1210847263">
    <w:abstractNumId w:val="13"/>
  </w:num>
  <w:num w:numId="8" w16cid:durableId="982348153">
    <w:abstractNumId w:val="17"/>
  </w:num>
  <w:num w:numId="9" w16cid:durableId="1529290868">
    <w:abstractNumId w:val="15"/>
  </w:num>
  <w:num w:numId="10" w16cid:durableId="1171066271">
    <w:abstractNumId w:val="14"/>
  </w:num>
  <w:num w:numId="11" w16cid:durableId="1453552857">
    <w:abstractNumId w:val="5"/>
  </w:num>
  <w:num w:numId="12" w16cid:durableId="1812097430">
    <w:abstractNumId w:val="16"/>
  </w:num>
  <w:num w:numId="13" w16cid:durableId="42288650">
    <w:abstractNumId w:val="12"/>
  </w:num>
  <w:num w:numId="14" w16cid:durableId="1721712531">
    <w:abstractNumId w:val="10"/>
  </w:num>
  <w:num w:numId="15" w16cid:durableId="1235432793">
    <w:abstractNumId w:val="3"/>
  </w:num>
  <w:num w:numId="16" w16cid:durableId="884678859">
    <w:abstractNumId w:val="2"/>
  </w:num>
  <w:num w:numId="17" w16cid:durableId="826165421">
    <w:abstractNumId w:val="11"/>
  </w:num>
  <w:num w:numId="18" w16cid:durableId="4403034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558"/>
    <w:rsid w:val="00003A45"/>
    <w:rsid w:val="00007067"/>
    <w:rsid w:val="00023729"/>
    <w:rsid w:val="000243B4"/>
    <w:rsid w:val="0002530E"/>
    <w:rsid w:val="0002710D"/>
    <w:rsid w:val="00031EA0"/>
    <w:rsid w:val="00036678"/>
    <w:rsid w:val="000452EB"/>
    <w:rsid w:val="00045603"/>
    <w:rsid w:val="000463AE"/>
    <w:rsid w:val="000507A3"/>
    <w:rsid w:val="00060A62"/>
    <w:rsid w:val="00064366"/>
    <w:rsid w:val="00066B73"/>
    <w:rsid w:val="00071481"/>
    <w:rsid w:val="00071D77"/>
    <w:rsid w:val="00075FAE"/>
    <w:rsid w:val="00082F38"/>
    <w:rsid w:val="000837DB"/>
    <w:rsid w:val="0008384B"/>
    <w:rsid w:val="000929EC"/>
    <w:rsid w:val="00093CDE"/>
    <w:rsid w:val="000A5C58"/>
    <w:rsid w:val="000A6379"/>
    <w:rsid w:val="000B0D49"/>
    <w:rsid w:val="000B203E"/>
    <w:rsid w:val="000D22B0"/>
    <w:rsid w:val="000D318D"/>
    <w:rsid w:val="000D35C9"/>
    <w:rsid w:val="000D520C"/>
    <w:rsid w:val="000D6596"/>
    <w:rsid w:val="000D6779"/>
    <w:rsid w:val="000E6DF0"/>
    <w:rsid w:val="001037CB"/>
    <w:rsid w:val="0010629E"/>
    <w:rsid w:val="00114288"/>
    <w:rsid w:val="00115538"/>
    <w:rsid w:val="00116FA8"/>
    <w:rsid w:val="00120AB1"/>
    <w:rsid w:val="00123A7F"/>
    <w:rsid w:val="001278D0"/>
    <w:rsid w:val="00127F72"/>
    <w:rsid w:val="00140646"/>
    <w:rsid w:val="0014409B"/>
    <w:rsid w:val="00147A4B"/>
    <w:rsid w:val="00152554"/>
    <w:rsid w:val="00155944"/>
    <w:rsid w:val="001559D7"/>
    <w:rsid w:val="0016523C"/>
    <w:rsid w:val="001671ED"/>
    <w:rsid w:val="00170714"/>
    <w:rsid w:val="00171D79"/>
    <w:rsid w:val="0017264D"/>
    <w:rsid w:val="001727FA"/>
    <w:rsid w:val="00172B0F"/>
    <w:rsid w:val="00173D4C"/>
    <w:rsid w:val="001759B6"/>
    <w:rsid w:val="001761E3"/>
    <w:rsid w:val="00181A7E"/>
    <w:rsid w:val="00182FD8"/>
    <w:rsid w:val="00183218"/>
    <w:rsid w:val="00184079"/>
    <w:rsid w:val="00185988"/>
    <w:rsid w:val="00186666"/>
    <w:rsid w:val="001873B6"/>
    <w:rsid w:val="001901E6"/>
    <w:rsid w:val="00191305"/>
    <w:rsid w:val="001948FB"/>
    <w:rsid w:val="00195B55"/>
    <w:rsid w:val="001A2FE8"/>
    <w:rsid w:val="001A33AC"/>
    <w:rsid w:val="001C1C51"/>
    <w:rsid w:val="001D4FC9"/>
    <w:rsid w:val="001E0ECA"/>
    <w:rsid w:val="001E206F"/>
    <w:rsid w:val="001E5750"/>
    <w:rsid w:val="001E66BA"/>
    <w:rsid w:val="001E7739"/>
    <w:rsid w:val="001F3DB4"/>
    <w:rsid w:val="001F7564"/>
    <w:rsid w:val="00203DB9"/>
    <w:rsid w:val="00204F40"/>
    <w:rsid w:val="00205DEF"/>
    <w:rsid w:val="002112C3"/>
    <w:rsid w:val="002131E5"/>
    <w:rsid w:val="00216C8A"/>
    <w:rsid w:val="00226317"/>
    <w:rsid w:val="00231539"/>
    <w:rsid w:val="00242093"/>
    <w:rsid w:val="00243F22"/>
    <w:rsid w:val="002523E3"/>
    <w:rsid w:val="00252AD6"/>
    <w:rsid w:val="002542CE"/>
    <w:rsid w:val="00257A4E"/>
    <w:rsid w:val="00266FA5"/>
    <w:rsid w:val="00276FBA"/>
    <w:rsid w:val="00277665"/>
    <w:rsid w:val="002837AE"/>
    <w:rsid w:val="00287FA8"/>
    <w:rsid w:val="002920F4"/>
    <w:rsid w:val="002940F3"/>
    <w:rsid w:val="00295842"/>
    <w:rsid w:val="002B3574"/>
    <w:rsid w:val="002B6B74"/>
    <w:rsid w:val="002C6AE7"/>
    <w:rsid w:val="002D2D4B"/>
    <w:rsid w:val="002D3805"/>
    <w:rsid w:val="002E66AE"/>
    <w:rsid w:val="002E7763"/>
    <w:rsid w:val="002F4C6F"/>
    <w:rsid w:val="002F5011"/>
    <w:rsid w:val="002F5842"/>
    <w:rsid w:val="002F7847"/>
    <w:rsid w:val="00306CB7"/>
    <w:rsid w:val="00307ABF"/>
    <w:rsid w:val="003111F5"/>
    <w:rsid w:val="00317664"/>
    <w:rsid w:val="00336200"/>
    <w:rsid w:val="00337418"/>
    <w:rsid w:val="00351D83"/>
    <w:rsid w:val="00352197"/>
    <w:rsid w:val="00353E46"/>
    <w:rsid w:val="003576C4"/>
    <w:rsid w:val="0036277A"/>
    <w:rsid w:val="00366AB0"/>
    <w:rsid w:val="003700E8"/>
    <w:rsid w:val="0037437C"/>
    <w:rsid w:val="00381127"/>
    <w:rsid w:val="0038146B"/>
    <w:rsid w:val="0038340F"/>
    <w:rsid w:val="00384457"/>
    <w:rsid w:val="00384F24"/>
    <w:rsid w:val="003A32B2"/>
    <w:rsid w:val="003A47DD"/>
    <w:rsid w:val="003A5F67"/>
    <w:rsid w:val="003A634F"/>
    <w:rsid w:val="003B14C1"/>
    <w:rsid w:val="003B2884"/>
    <w:rsid w:val="003B588A"/>
    <w:rsid w:val="003B621D"/>
    <w:rsid w:val="003B774A"/>
    <w:rsid w:val="003C4388"/>
    <w:rsid w:val="003C4C27"/>
    <w:rsid w:val="003C7F7B"/>
    <w:rsid w:val="003D0CD6"/>
    <w:rsid w:val="003D2EAA"/>
    <w:rsid w:val="003D448C"/>
    <w:rsid w:val="003E054C"/>
    <w:rsid w:val="003E1EC5"/>
    <w:rsid w:val="003E27A0"/>
    <w:rsid w:val="003E3872"/>
    <w:rsid w:val="004044AA"/>
    <w:rsid w:val="004044C8"/>
    <w:rsid w:val="00404F3F"/>
    <w:rsid w:val="00410B5D"/>
    <w:rsid w:val="00413BEC"/>
    <w:rsid w:val="0042265E"/>
    <w:rsid w:val="00424ED7"/>
    <w:rsid w:val="00425258"/>
    <w:rsid w:val="00426217"/>
    <w:rsid w:val="00431A80"/>
    <w:rsid w:val="00433641"/>
    <w:rsid w:val="00435A89"/>
    <w:rsid w:val="00452267"/>
    <w:rsid w:val="00453307"/>
    <w:rsid w:val="00454EE1"/>
    <w:rsid w:val="00455A02"/>
    <w:rsid w:val="00457E36"/>
    <w:rsid w:val="00460BD3"/>
    <w:rsid w:val="00462F8F"/>
    <w:rsid w:val="004708F2"/>
    <w:rsid w:val="004724DE"/>
    <w:rsid w:val="004770FE"/>
    <w:rsid w:val="0048157F"/>
    <w:rsid w:val="00481D56"/>
    <w:rsid w:val="00490408"/>
    <w:rsid w:val="004A4C45"/>
    <w:rsid w:val="004A55C4"/>
    <w:rsid w:val="004B0485"/>
    <w:rsid w:val="004B0ED7"/>
    <w:rsid w:val="004B1F58"/>
    <w:rsid w:val="004B428E"/>
    <w:rsid w:val="004B4D0A"/>
    <w:rsid w:val="004B4D37"/>
    <w:rsid w:val="004C0E9E"/>
    <w:rsid w:val="004C42F0"/>
    <w:rsid w:val="004D50C8"/>
    <w:rsid w:val="004D6B72"/>
    <w:rsid w:val="004E1D73"/>
    <w:rsid w:val="004E5450"/>
    <w:rsid w:val="004E57C3"/>
    <w:rsid w:val="004E72DD"/>
    <w:rsid w:val="004F22CD"/>
    <w:rsid w:val="005025FB"/>
    <w:rsid w:val="00503462"/>
    <w:rsid w:val="0051286E"/>
    <w:rsid w:val="00516021"/>
    <w:rsid w:val="00516457"/>
    <w:rsid w:val="00516641"/>
    <w:rsid w:val="0051729F"/>
    <w:rsid w:val="005201C6"/>
    <w:rsid w:val="00520A0C"/>
    <w:rsid w:val="00530E37"/>
    <w:rsid w:val="00535946"/>
    <w:rsid w:val="005452CF"/>
    <w:rsid w:val="005464A1"/>
    <w:rsid w:val="00546F12"/>
    <w:rsid w:val="0055167E"/>
    <w:rsid w:val="0055339C"/>
    <w:rsid w:val="005542CC"/>
    <w:rsid w:val="00560424"/>
    <w:rsid w:val="00562B3C"/>
    <w:rsid w:val="005646FA"/>
    <w:rsid w:val="00564E40"/>
    <w:rsid w:val="005702D2"/>
    <w:rsid w:val="00573E1D"/>
    <w:rsid w:val="005750E2"/>
    <w:rsid w:val="0058313F"/>
    <w:rsid w:val="00585859"/>
    <w:rsid w:val="00586FBC"/>
    <w:rsid w:val="005879C9"/>
    <w:rsid w:val="00594CAD"/>
    <w:rsid w:val="005A1D0B"/>
    <w:rsid w:val="005A3C6B"/>
    <w:rsid w:val="005B1EA5"/>
    <w:rsid w:val="005C0BBD"/>
    <w:rsid w:val="005C310E"/>
    <w:rsid w:val="005C54A0"/>
    <w:rsid w:val="005D0D15"/>
    <w:rsid w:val="005D7176"/>
    <w:rsid w:val="005E18CB"/>
    <w:rsid w:val="005E1F24"/>
    <w:rsid w:val="005E3667"/>
    <w:rsid w:val="005E73F1"/>
    <w:rsid w:val="005F07EF"/>
    <w:rsid w:val="005F16B6"/>
    <w:rsid w:val="005F2600"/>
    <w:rsid w:val="005F5224"/>
    <w:rsid w:val="005F7AA1"/>
    <w:rsid w:val="00600B2E"/>
    <w:rsid w:val="00601122"/>
    <w:rsid w:val="00606521"/>
    <w:rsid w:val="00607CEB"/>
    <w:rsid w:val="00613299"/>
    <w:rsid w:val="0061762D"/>
    <w:rsid w:val="00634238"/>
    <w:rsid w:val="00635FBC"/>
    <w:rsid w:val="00636EB5"/>
    <w:rsid w:val="00637728"/>
    <w:rsid w:val="0064113A"/>
    <w:rsid w:val="0064167B"/>
    <w:rsid w:val="00643F96"/>
    <w:rsid w:val="00644002"/>
    <w:rsid w:val="0064526B"/>
    <w:rsid w:val="006458B1"/>
    <w:rsid w:val="00650529"/>
    <w:rsid w:val="00650BAB"/>
    <w:rsid w:val="00651737"/>
    <w:rsid w:val="00654E31"/>
    <w:rsid w:val="00656A8F"/>
    <w:rsid w:val="00661FDB"/>
    <w:rsid w:val="006652DD"/>
    <w:rsid w:val="006671BF"/>
    <w:rsid w:val="00671AEB"/>
    <w:rsid w:val="00672A7D"/>
    <w:rsid w:val="00681416"/>
    <w:rsid w:val="006A06F5"/>
    <w:rsid w:val="006A0ED2"/>
    <w:rsid w:val="006B0A73"/>
    <w:rsid w:val="006B5A6B"/>
    <w:rsid w:val="006C0F82"/>
    <w:rsid w:val="006C25E8"/>
    <w:rsid w:val="006C332E"/>
    <w:rsid w:val="006C5901"/>
    <w:rsid w:val="006D00F1"/>
    <w:rsid w:val="006D377A"/>
    <w:rsid w:val="006D4222"/>
    <w:rsid w:val="006D6372"/>
    <w:rsid w:val="006D68C4"/>
    <w:rsid w:val="006D6E5C"/>
    <w:rsid w:val="006E02AF"/>
    <w:rsid w:val="006E0786"/>
    <w:rsid w:val="006E6B4A"/>
    <w:rsid w:val="006E7449"/>
    <w:rsid w:val="006E7FB1"/>
    <w:rsid w:val="006F2604"/>
    <w:rsid w:val="006F5319"/>
    <w:rsid w:val="006F55FD"/>
    <w:rsid w:val="006F5D21"/>
    <w:rsid w:val="007061DA"/>
    <w:rsid w:val="007109F6"/>
    <w:rsid w:val="00711BE3"/>
    <w:rsid w:val="00721B51"/>
    <w:rsid w:val="00722CB3"/>
    <w:rsid w:val="00724594"/>
    <w:rsid w:val="00724FA7"/>
    <w:rsid w:val="00725415"/>
    <w:rsid w:val="007262CC"/>
    <w:rsid w:val="00727505"/>
    <w:rsid w:val="00731581"/>
    <w:rsid w:val="0073481D"/>
    <w:rsid w:val="00741B9E"/>
    <w:rsid w:val="00743DAC"/>
    <w:rsid w:val="007455B3"/>
    <w:rsid w:val="007502CD"/>
    <w:rsid w:val="00752AE7"/>
    <w:rsid w:val="00752D3B"/>
    <w:rsid w:val="0075337B"/>
    <w:rsid w:val="00755CD4"/>
    <w:rsid w:val="00757F96"/>
    <w:rsid w:val="007610B5"/>
    <w:rsid w:val="007623CB"/>
    <w:rsid w:val="00762652"/>
    <w:rsid w:val="00764551"/>
    <w:rsid w:val="0076556F"/>
    <w:rsid w:val="007677B8"/>
    <w:rsid w:val="00781713"/>
    <w:rsid w:val="00785285"/>
    <w:rsid w:val="0078529D"/>
    <w:rsid w:val="00785E77"/>
    <w:rsid w:val="0078720B"/>
    <w:rsid w:val="00787DC1"/>
    <w:rsid w:val="00794070"/>
    <w:rsid w:val="0079564C"/>
    <w:rsid w:val="007A63CA"/>
    <w:rsid w:val="007A713B"/>
    <w:rsid w:val="007A7DA0"/>
    <w:rsid w:val="007B64E5"/>
    <w:rsid w:val="007C2F04"/>
    <w:rsid w:val="007F06E5"/>
    <w:rsid w:val="007F5B8B"/>
    <w:rsid w:val="00805BC0"/>
    <w:rsid w:val="00814FB9"/>
    <w:rsid w:val="00817E9A"/>
    <w:rsid w:val="00827786"/>
    <w:rsid w:val="00827BDA"/>
    <w:rsid w:val="00830D57"/>
    <w:rsid w:val="00831F00"/>
    <w:rsid w:val="00850CA0"/>
    <w:rsid w:val="00852A2F"/>
    <w:rsid w:val="008608EE"/>
    <w:rsid w:val="00860B07"/>
    <w:rsid w:val="008616F6"/>
    <w:rsid w:val="0086259C"/>
    <w:rsid w:val="008674ED"/>
    <w:rsid w:val="0087074C"/>
    <w:rsid w:val="00874913"/>
    <w:rsid w:val="00883F24"/>
    <w:rsid w:val="008954A1"/>
    <w:rsid w:val="00897E1F"/>
    <w:rsid w:val="008A3E8E"/>
    <w:rsid w:val="008B2CB4"/>
    <w:rsid w:val="008B3D82"/>
    <w:rsid w:val="008B5503"/>
    <w:rsid w:val="008B6404"/>
    <w:rsid w:val="008C2C21"/>
    <w:rsid w:val="008C7DD3"/>
    <w:rsid w:val="008D054C"/>
    <w:rsid w:val="008E000B"/>
    <w:rsid w:val="008E2926"/>
    <w:rsid w:val="008E35C6"/>
    <w:rsid w:val="008E3F49"/>
    <w:rsid w:val="008E7FBC"/>
    <w:rsid w:val="008F243B"/>
    <w:rsid w:val="008F4675"/>
    <w:rsid w:val="008F50FE"/>
    <w:rsid w:val="008F69CD"/>
    <w:rsid w:val="008F6E88"/>
    <w:rsid w:val="00901E60"/>
    <w:rsid w:val="00904A66"/>
    <w:rsid w:val="00905029"/>
    <w:rsid w:val="00921A3A"/>
    <w:rsid w:val="0092287F"/>
    <w:rsid w:val="0092495B"/>
    <w:rsid w:val="0092660E"/>
    <w:rsid w:val="00936519"/>
    <w:rsid w:val="009413AA"/>
    <w:rsid w:val="00941DA3"/>
    <w:rsid w:val="00942C0C"/>
    <w:rsid w:val="00951711"/>
    <w:rsid w:val="009539E3"/>
    <w:rsid w:val="00954083"/>
    <w:rsid w:val="00954A5E"/>
    <w:rsid w:val="009551B2"/>
    <w:rsid w:val="0096022C"/>
    <w:rsid w:val="009619B1"/>
    <w:rsid w:val="00964625"/>
    <w:rsid w:val="00965B57"/>
    <w:rsid w:val="00980937"/>
    <w:rsid w:val="00981C1D"/>
    <w:rsid w:val="0099109C"/>
    <w:rsid w:val="009936DB"/>
    <w:rsid w:val="00993CFC"/>
    <w:rsid w:val="009A1DC2"/>
    <w:rsid w:val="009A5EEA"/>
    <w:rsid w:val="009B0906"/>
    <w:rsid w:val="009B38F2"/>
    <w:rsid w:val="009B7433"/>
    <w:rsid w:val="009C0914"/>
    <w:rsid w:val="009C27E5"/>
    <w:rsid w:val="009D24A1"/>
    <w:rsid w:val="009D3891"/>
    <w:rsid w:val="009D54F9"/>
    <w:rsid w:val="009D71E8"/>
    <w:rsid w:val="009E0CF5"/>
    <w:rsid w:val="009E104B"/>
    <w:rsid w:val="009E7DE4"/>
    <w:rsid w:val="009F3BBD"/>
    <w:rsid w:val="00A022AB"/>
    <w:rsid w:val="00A063DD"/>
    <w:rsid w:val="00A112B5"/>
    <w:rsid w:val="00A14EEA"/>
    <w:rsid w:val="00A33636"/>
    <w:rsid w:val="00A44FBB"/>
    <w:rsid w:val="00A50104"/>
    <w:rsid w:val="00A522E0"/>
    <w:rsid w:val="00A52823"/>
    <w:rsid w:val="00A60E28"/>
    <w:rsid w:val="00A63579"/>
    <w:rsid w:val="00A638AC"/>
    <w:rsid w:val="00A64475"/>
    <w:rsid w:val="00A727E5"/>
    <w:rsid w:val="00A748B5"/>
    <w:rsid w:val="00A7797A"/>
    <w:rsid w:val="00A80A32"/>
    <w:rsid w:val="00A81948"/>
    <w:rsid w:val="00A82A98"/>
    <w:rsid w:val="00A82D16"/>
    <w:rsid w:val="00A852F2"/>
    <w:rsid w:val="00A8712A"/>
    <w:rsid w:val="00A95F75"/>
    <w:rsid w:val="00A968DA"/>
    <w:rsid w:val="00A96B83"/>
    <w:rsid w:val="00AA355B"/>
    <w:rsid w:val="00AA42E5"/>
    <w:rsid w:val="00AB24FA"/>
    <w:rsid w:val="00AB5161"/>
    <w:rsid w:val="00AD7B5A"/>
    <w:rsid w:val="00AE229F"/>
    <w:rsid w:val="00AF0618"/>
    <w:rsid w:val="00AF5E20"/>
    <w:rsid w:val="00B002FA"/>
    <w:rsid w:val="00B00327"/>
    <w:rsid w:val="00B024B3"/>
    <w:rsid w:val="00B11DE8"/>
    <w:rsid w:val="00B179ED"/>
    <w:rsid w:val="00B20E18"/>
    <w:rsid w:val="00B331E1"/>
    <w:rsid w:val="00B4532A"/>
    <w:rsid w:val="00B47C66"/>
    <w:rsid w:val="00B572C4"/>
    <w:rsid w:val="00B60858"/>
    <w:rsid w:val="00B60D69"/>
    <w:rsid w:val="00B6234E"/>
    <w:rsid w:val="00B74D4E"/>
    <w:rsid w:val="00B80219"/>
    <w:rsid w:val="00B87184"/>
    <w:rsid w:val="00B91453"/>
    <w:rsid w:val="00BA19A5"/>
    <w:rsid w:val="00BB2907"/>
    <w:rsid w:val="00BB6902"/>
    <w:rsid w:val="00BB7287"/>
    <w:rsid w:val="00BC078B"/>
    <w:rsid w:val="00BC3A7D"/>
    <w:rsid w:val="00BC67F6"/>
    <w:rsid w:val="00BD2004"/>
    <w:rsid w:val="00BD4B12"/>
    <w:rsid w:val="00BD700D"/>
    <w:rsid w:val="00BE2F92"/>
    <w:rsid w:val="00BE44AC"/>
    <w:rsid w:val="00BF0D5F"/>
    <w:rsid w:val="00BF30FC"/>
    <w:rsid w:val="00BF59B3"/>
    <w:rsid w:val="00BF6F95"/>
    <w:rsid w:val="00C10BCF"/>
    <w:rsid w:val="00C11EB4"/>
    <w:rsid w:val="00C12746"/>
    <w:rsid w:val="00C23C11"/>
    <w:rsid w:val="00C2441E"/>
    <w:rsid w:val="00C25827"/>
    <w:rsid w:val="00C31636"/>
    <w:rsid w:val="00C31BB8"/>
    <w:rsid w:val="00C373EA"/>
    <w:rsid w:val="00C43CA3"/>
    <w:rsid w:val="00C43D9D"/>
    <w:rsid w:val="00C43EA4"/>
    <w:rsid w:val="00C50040"/>
    <w:rsid w:val="00C52DFF"/>
    <w:rsid w:val="00C574E1"/>
    <w:rsid w:val="00C621C1"/>
    <w:rsid w:val="00C62989"/>
    <w:rsid w:val="00C65CBB"/>
    <w:rsid w:val="00C74684"/>
    <w:rsid w:val="00C77FEF"/>
    <w:rsid w:val="00C80F37"/>
    <w:rsid w:val="00C83659"/>
    <w:rsid w:val="00C839C1"/>
    <w:rsid w:val="00C95AB6"/>
    <w:rsid w:val="00C97A7F"/>
    <w:rsid w:val="00CA4421"/>
    <w:rsid w:val="00CA5363"/>
    <w:rsid w:val="00CA7D07"/>
    <w:rsid w:val="00CB24A4"/>
    <w:rsid w:val="00CB5B17"/>
    <w:rsid w:val="00CB6AA0"/>
    <w:rsid w:val="00CC4443"/>
    <w:rsid w:val="00CC5CAF"/>
    <w:rsid w:val="00CE7E1B"/>
    <w:rsid w:val="00D04F25"/>
    <w:rsid w:val="00D057AE"/>
    <w:rsid w:val="00D06874"/>
    <w:rsid w:val="00D07530"/>
    <w:rsid w:val="00D07FCB"/>
    <w:rsid w:val="00D173F7"/>
    <w:rsid w:val="00D20203"/>
    <w:rsid w:val="00D204E0"/>
    <w:rsid w:val="00D21354"/>
    <w:rsid w:val="00D22400"/>
    <w:rsid w:val="00D23F4A"/>
    <w:rsid w:val="00D264E2"/>
    <w:rsid w:val="00D278BA"/>
    <w:rsid w:val="00D33FE5"/>
    <w:rsid w:val="00D348C0"/>
    <w:rsid w:val="00D3578A"/>
    <w:rsid w:val="00D43A15"/>
    <w:rsid w:val="00D4463C"/>
    <w:rsid w:val="00D46182"/>
    <w:rsid w:val="00D46C7D"/>
    <w:rsid w:val="00D501EE"/>
    <w:rsid w:val="00D517DC"/>
    <w:rsid w:val="00D5360D"/>
    <w:rsid w:val="00D5590D"/>
    <w:rsid w:val="00D618E4"/>
    <w:rsid w:val="00D61DA5"/>
    <w:rsid w:val="00D642A3"/>
    <w:rsid w:val="00D71B8A"/>
    <w:rsid w:val="00D72C08"/>
    <w:rsid w:val="00D75247"/>
    <w:rsid w:val="00D81325"/>
    <w:rsid w:val="00D875ED"/>
    <w:rsid w:val="00D877D0"/>
    <w:rsid w:val="00D90013"/>
    <w:rsid w:val="00D91B9C"/>
    <w:rsid w:val="00D92C1B"/>
    <w:rsid w:val="00D94CC7"/>
    <w:rsid w:val="00D96778"/>
    <w:rsid w:val="00D97901"/>
    <w:rsid w:val="00DA1AF4"/>
    <w:rsid w:val="00DB0C60"/>
    <w:rsid w:val="00DB46A9"/>
    <w:rsid w:val="00DC641A"/>
    <w:rsid w:val="00DD21A1"/>
    <w:rsid w:val="00DD68FB"/>
    <w:rsid w:val="00DD6B7D"/>
    <w:rsid w:val="00DD6E14"/>
    <w:rsid w:val="00DE15AC"/>
    <w:rsid w:val="00DF2015"/>
    <w:rsid w:val="00E061EC"/>
    <w:rsid w:val="00E0696B"/>
    <w:rsid w:val="00E10E81"/>
    <w:rsid w:val="00E13E51"/>
    <w:rsid w:val="00E21F56"/>
    <w:rsid w:val="00E3014F"/>
    <w:rsid w:val="00E4286E"/>
    <w:rsid w:val="00E43EAD"/>
    <w:rsid w:val="00E62DCB"/>
    <w:rsid w:val="00E651DD"/>
    <w:rsid w:val="00E66558"/>
    <w:rsid w:val="00E70D81"/>
    <w:rsid w:val="00E726A6"/>
    <w:rsid w:val="00E73418"/>
    <w:rsid w:val="00E8109E"/>
    <w:rsid w:val="00E85C23"/>
    <w:rsid w:val="00E86F05"/>
    <w:rsid w:val="00EA3A2A"/>
    <w:rsid w:val="00EA6B46"/>
    <w:rsid w:val="00EB4556"/>
    <w:rsid w:val="00EB4A11"/>
    <w:rsid w:val="00EB64C8"/>
    <w:rsid w:val="00ED4136"/>
    <w:rsid w:val="00ED5108"/>
    <w:rsid w:val="00ED666B"/>
    <w:rsid w:val="00ED6AE8"/>
    <w:rsid w:val="00ED7F67"/>
    <w:rsid w:val="00EE291B"/>
    <w:rsid w:val="00EE2CB2"/>
    <w:rsid w:val="00EF485B"/>
    <w:rsid w:val="00EF5A6B"/>
    <w:rsid w:val="00F012CA"/>
    <w:rsid w:val="00F01752"/>
    <w:rsid w:val="00F017D2"/>
    <w:rsid w:val="00F0355A"/>
    <w:rsid w:val="00F05C44"/>
    <w:rsid w:val="00F15753"/>
    <w:rsid w:val="00F21F92"/>
    <w:rsid w:val="00F24A7E"/>
    <w:rsid w:val="00F32ABA"/>
    <w:rsid w:val="00F33DC0"/>
    <w:rsid w:val="00F33F28"/>
    <w:rsid w:val="00F35A40"/>
    <w:rsid w:val="00F35FDE"/>
    <w:rsid w:val="00F40DE1"/>
    <w:rsid w:val="00F4142A"/>
    <w:rsid w:val="00F54FCB"/>
    <w:rsid w:val="00F62587"/>
    <w:rsid w:val="00F631A6"/>
    <w:rsid w:val="00F63E9E"/>
    <w:rsid w:val="00F63FEA"/>
    <w:rsid w:val="00F66AA7"/>
    <w:rsid w:val="00F75603"/>
    <w:rsid w:val="00F76843"/>
    <w:rsid w:val="00F776E1"/>
    <w:rsid w:val="00F77E8D"/>
    <w:rsid w:val="00F925EB"/>
    <w:rsid w:val="00F97033"/>
    <w:rsid w:val="00FA6DD0"/>
    <w:rsid w:val="00FC28DF"/>
    <w:rsid w:val="00FD1780"/>
    <w:rsid w:val="00FD2297"/>
    <w:rsid w:val="00FD406D"/>
    <w:rsid w:val="00FD6AC6"/>
    <w:rsid w:val="00FE3136"/>
    <w:rsid w:val="00FE50A3"/>
    <w:rsid w:val="00FE5204"/>
    <w:rsid w:val="00FE604C"/>
    <w:rsid w:val="00FF2000"/>
    <w:rsid w:val="00FF369D"/>
    <w:rsid w:val="00FF6CA3"/>
    <w:rsid w:val="00FF6FB0"/>
    <w:rsid w:val="00FF79A8"/>
    <w:rsid w:val="05B6D577"/>
    <w:rsid w:val="069AA0E3"/>
    <w:rsid w:val="07FFD3D3"/>
    <w:rsid w:val="0B240EAF"/>
    <w:rsid w:val="13173609"/>
    <w:rsid w:val="15511BA4"/>
    <w:rsid w:val="16744B3B"/>
    <w:rsid w:val="1A172959"/>
    <w:rsid w:val="1CBF4D92"/>
    <w:rsid w:val="2497129E"/>
    <w:rsid w:val="257B222D"/>
    <w:rsid w:val="2860AB8E"/>
    <w:rsid w:val="2FFB967E"/>
    <w:rsid w:val="318CD4DC"/>
    <w:rsid w:val="31CC4DD9"/>
    <w:rsid w:val="380BAE89"/>
    <w:rsid w:val="39670D04"/>
    <w:rsid w:val="3A3F1ACF"/>
    <w:rsid w:val="3BE13FA2"/>
    <w:rsid w:val="3C5A6419"/>
    <w:rsid w:val="3E634170"/>
    <w:rsid w:val="3EA4202B"/>
    <w:rsid w:val="407F390E"/>
    <w:rsid w:val="418407A1"/>
    <w:rsid w:val="4766FF44"/>
    <w:rsid w:val="491E3A64"/>
    <w:rsid w:val="4BF69EA0"/>
    <w:rsid w:val="4C93CCC8"/>
    <w:rsid w:val="4D443F8C"/>
    <w:rsid w:val="52C5DDC0"/>
    <w:rsid w:val="5726C435"/>
    <w:rsid w:val="5888AA88"/>
    <w:rsid w:val="5C40C457"/>
    <w:rsid w:val="5F3A7B6B"/>
    <w:rsid w:val="617B4808"/>
    <w:rsid w:val="625D1A15"/>
    <w:rsid w:val="6353B5E6"/>
    <w:rsid w:val="638B18AC"/>
    <w:rsid w:val="66C84D70"/>
    <w:rsid w:val="6948C1C2"/>
    <w:rsid w:val="6D28B1AF"/>
    <w:rsid w:val="6D616F43"/>
    <w:rsid w:val="6EB73EE5"/>
    <w:rsid w:val="709C33EC"/>
    <w:rsid w:val="7AADCF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D54B1"/>
  <w15:docId w15:val="{B17F33C7-39FE-477A-B0FE-FB6657443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Times New Roman"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numbering" w:styleId="WWOutlineListStyle1" w:customStyle="1">
    <w:name w:val="WW_OutlineListStyle_1"/>
    <w:basedOn w:val="NoList"/>
    <w:pPr>
      <w:numPr>
        <w:numId w:val="1"/>
      </w:numPr>
    </w:pPr>
  </w:style>
  <w:style w:type="character" w:styleId="Heading1Char" w:customStyle="1">
    <w:name w:val="Heading 1 Char"/>
    <w:rPr>
      <w:b/>
      <w:color w:val="104F75"/>
      <w:sz w:val="36"/>
      <w:szCs w:val="24"/>
    </w:rPr>
  </w:style>
  <w:style w:type="character" w:styleId="Heading2Char" w:customStyle="1">
    <w:name w:val="Heading 2 Char"/>
    <w:rPr>
      <w:b/>
      <w:color w:val="104F75"/>
      <w:sz w:val="32"/>
      <w:szCs w:val="32"/>
    </w:rPr>
  </w:style>
  <w:style w:type="character" w:styleId="Heading3Char" w:customStyle="1">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styleId="TitleText" w:customStyle="1">
    <w:name w:val="TitleText"/>
    <w:basedOn w:val="Normal"/>
    <w:pPr>
      <w:spacing w:before="3600" w:line="240" w:lineRule="auto"/>
    </w:pPr>
    <w:rPr>
      <w:rFonts w:cs="Arial"/>
      <w:b/>
      <w:color w:val="104F75"/>
      <w:sz w:val="92"/>
      <w:szCs w:val="92"/>
    </w:rPr>
  </w:style>
  <w:style w:type="character" w:styleId="TitleTextChar" w:customStyle="1">
    <w:name w:val="TitleText Char"/>
    <w:rPr>
      <w:rFonts w:cs="Arial"/>
      <w:b/>
      <w:color w:val="104F75"/>
      <w:sz w:val="92"/>
      <w:szCs w:val="92"/>
    </w:rPr>
  </w:style>
  <w:style w:type="paragraph" w:styleId="SubtitleText" w:customStyle="1">
    <w:name w:val="SubtitleText"/>
    <w:basedOn w:val="Normal"/>
    <w:pPr>
      <w:spacing w:after="1520"/>
    </w:pPr>
    <w:rPr>
      <w:rFonts w:cs="Arial"/>
      <w:b/>
      <w:color w:val="104F75"/>
      <w:sz w:val="48"/>
      <w:szCs w:val="48"/>
    </w:rPr>
  </w:style>
  <w:style w:type="character" w:styleId="SubtitleTextChar" w:customStyle="1">
    <w:name w:val="SubtitleText Char"/>
    <w:rPr>
      <w:rFonts w:cs="Arial"/>
      <w:b/>
      <w:color w:val="104F75"/>
      <w:sz w:val="48"/>
      <w:szCs w:val="48"/>
    </w:rPr>
  </w:style>
  <w:style w:type="paragraph" w:styleId="ListBullet">
    <w:name w:val="List Bullet"/>
    <w:basedOn w:val="ListBullet5"/>
    <w:pPr>
      <w:numPr>
        <w:numId w:val="5"/>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styleId="CopyrightBox" w:customStyle="1">
    <w:name w:val="CopyrightBox"/>
    <w:basedOn w:val="Normal"/>
  </w:style>
  <w:style w:type="character" w:styleId="CopyrightBoxChar" w:customStyle="1">
    <w:name w:val="CopyrightBox Char"/>
    <w:rPr>
      <w:color w:val="0D0D0D"/>
      <w:sz w:val="24"/>
      <w:szCs w:val="24"/>
    </w:rPr>
  </w:style>
  <w:style w:type="paragraph" w:styleId="CopyrightSpacing" w:customStyle="1">
    <w:name w:val="CopyrightSpacing"/>
    <w:basedOn w:val="Normal"/>
    <w:pPr>
      <w:spacing w:before="6000" w:after="120"/>
    </w:pPr>
  </w:style>
  <w:style w:type="character" w:styleId="CopyrightSpacingChar" w:customStyle="1">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styleId="TitleChar" w:customStyle="1">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4"/>
      </w:numPr>
      <w:contextualSpacing/>
    </w:p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qFormat/>
    <w:pPr>
      <w:numPr>
        <w:numId w:val="8"/>
      </w:numPr>
      <w:contextualSpacing/>
    </w:pPr>
  </w:style>
  <w:style w:type="paragraph" w:styleId="Caption">
    <w:name w:val="caption"/>
    <w:basedOn w:val="Normal"/>
    <w:next w:val="Normal"/>
    <w:pPr>
      <w:spacing w:before="120" w:after="120"/>
      <w:jc w:val="center"/>
    </w:pPr>
    <w:rPr>
      <w:b/>
      <w:bCs/>
      <w:color w:val="000000"/>
      <w:sz w:val="20"/>
      <w:szCs w:val="20"/>
    </w:rPr>
  </w:style>
  <w:style w:type="character" w:styleId="Heading4Char" w:customStyle="1">
    <w:name w:val="Heading 4 Char"/>
    <w:rPr>
      <w:b/>
      <w:bCs/>
      <w:color w:val="104F75"/>
      <w:sz w:val="24"/>
      <w:szCs w:val="28"/>
    </w:rPr>
  </w:style>
  <w:style w:type="character" w:styleId="Heading5Char" w:customStyle="1">
    <w:name w:val="Heading 5 Char"/>
    <w:rPr>
      <w:rFonts w:ascii="Calibri" w:hAnsi="Calibri"/>
      <w:b/>
      <w:bCs/>
      <w:i/>
      <w:iCs/>
      <w:color w:val="0D0D0D"/>
      <w:sz w:val="26"/>
      <w:szCs w:val="26"/>
    </w:rPr>
  </w:style>
  <w:style w:type="character" w:styleId="Heading6Char" w:customStyle="1">
    <w:name w:val="Heading 6 Char"/>
    <w:rPr>
      <w:rFonts w:ascii="Calibri" w:hAnsi="Calibri"/>
      <w:b/>
      <w:bCs/>
      <w:color w:val="0D0D0D"/>
      <w:sz w:val="24"/>
      <w:szCs w:val="22"/>
    </w:rPr>
  </w:style>
  <w:style w:type="character" w:styleId="Heading7Char" w:customStyle="1">
    <w:name w:val="Heading 7 Char"/>
    <w:rPr>
      <w:rFonts w:ascii="Calibri" w:hAnsi="Calibri"/>
      <w:color w:val="0D0D0D"/>
      <w:sz w:val="24"/>
      <w:szCs w:val="24"/>
    </w:rPr>
  </w:style>
  <w:style w:type="character" w:styleId="Heading8Char" w:customStyle="1">
    <w:name w:val="Heading 8 Char"/>
    <w:rPr>
      <w:rFonts w:ascii="Calibri" w:hAnsi="Calibri"/>
      <w:i/>
      <w:iCs/>
      <w:color w:val="0D0D0D"/>
      <w:sz w:val="24"/>
      <w:szCs w:val="24"/>
    </w:rPr>
  </w:style>
  <w:style w:type="character" w:styleId="Heading9Char" w:customStyle="1">
    <w:name w:val="Heading 9 Char"/>
    <w:rPr>
      <w:rFonts w:ascii="Cambria" w:hAnsi="Cambria"/>
      <w:color w:val="0D0D0D"/>
      <w:sz w:val="24"/>
      <w:szCs w:val="22"/>
    </w:rPr>
  </w:style>
  <w:style w:type="paragraph" w:styleId="BodyText">
    <w:name w:val="Body Text"/>
    <w:basedOn w:val="Normal"/>
    <w:pPr>
      <w:spacing w:after="120"/>
    </w:pPr>
  </w:style>
  <w:style w:type="character" w:styleId="BodyTextChar" w:customStyle="1">
    <w:name w:val="Body Text Char"/>
    <w:basedOn w:val="DefaultParagraphFont"/>
    <w:rPr>
      <w:color w:val="0D0D0D"/>
      <w:sz w:val="24"/>
      <w:szCs w:val="24"/>
    </w:rPr>
  </w:style>
  <w:style w:type="paragraph" w:styleId="TableHeader" w:customStyle="1">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styleId="BalloonTextChar" w:customStyle="1">
    <w:name w:val="Balloon Text Char"/>
    <w:rPr>
      <w:rFonts w:ascii="Tahoma" w:hAnsi="Tahoma" w:cs="Tahoma"/>
      <w:sz w:val="16"/>
      <w:szCs w:val="16"/>
    </w:rPr>
  </w:style>
  <w:style w:type="paragraph" w:styleId="TableRow" w:customStyle="1">
    <w:name w:val="TableRow"/>
    <w:pPr>
      <w:suppressAutoHyphens/>
      <w:spacing w:before="60" w:after="60"/>
      <w:ind w:left="57" w:right="57"/>
    </w:pPr>
    <w:rPr>
      <w:color w:val="0D0D0D"/>
      <w:sz w:val="24"/>
      <w:szCs w:val="24"/>
    </w:rPr>
  </w:style>
  <w:style w:type="character" w:styleId="TableRowChar" w:customStyle="1">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styleId="HeaderChar" w:customStyle="1">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styleId="FooterChar" w:customStyle="1">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styleId="FootnoteTextChar" w:customStyle="1">
    <w:name w:val="Footnote Text Char"/>
    <w:basedOn w:val="DefaultParagraphFont"/>
  </w:style>
  <w:style w:type="character" w:styleId="FootnoteReference">
    <w:name w:val="footnote reference"/>
    <w:basedOn w:val="DefaultParagraphFont"/>
    <w:rPr>
      <w:position w:val="0"/>
      <w:vertAlign w:val="superscript"/>
    </w:rPr>
  </w:style>
  <w:style w:type="character" w:styleId="RGB" w:customStyle="1">
    <w:name w:val="RGB"/>
    <w:basedOn w:val="DefaultParagraphFont"/>
    <w:rPr>
      <w:b/>
      <w:bCs/>
      <w:sz w:val="20"/>
    </w:rPr>
  </w:style>
  <w:style w:type="paragraph" w:styleId="ColouredBoxHeadline" w:customStyle="1">
    <w:name w:val="Coloured Box Headline"/>
    <w:basedOn w:val="Normal"/>
    <w:pPr>
      <w:spacing w:before="120"/>
    </w:pPr>
    <w:rPr>
      <w:b/>
      <w:bCs/>
      <w:sz w:val="28"/>
      <w:szCs w:val="20"/>
    </w:rPr>
  </w:style>
  <w:style w:type="character" w:styleId="RGBValues" w:customStyle="1">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uiPriority w:val="99"/>
  </w:style>
  <w:style w:type="paragraph" w:styleId="CommentText">
    <w:name w:val="annotation text"/>
    <w:basedOn w:val="Normal"/>
    <w:uiPriority w:val="99"/>
    <w:pPr>
      <w:spacing w:line="240" w:lineRule="auto"/>
    </w:pPr>
    <w:rPr>
      <w:sz w:val="20"/>
      <w:szCs w:val="20"/>
    </w:rPr>
  </w:style>
  <w:style w:type="character" w:styleId="CommentTextChar" w:customStyle="1">
    <w:name w:val="Comment Text Char"/>
    <w:basedOn w:val="DefaultParagraphFont"/>
    <w:uiPriority w:val="99"/>
  </w:style>
  <w:style w:type="paragraph" w:styleId="CommentSubject">
    <w:name w:val="annotation subject"/>
    <w:basedOn w:val="CommentText"/>
    <w:next w:val="CommentText"/>
    <w:rPr>
      <w:b/>
      <w:bCs/>
    </w:rPr>
  </w:style>
  <w:style w:type="character" w:styleId="CommentSubjectChar" w:customStyle="1">
    <w:name w:val="Comment Subject Char"/>
    <w:basedOn w:val="CommentTextChar"/>
    <w:rPr>
      <w:b/>
      <w:bCs/>
    </w:rPr>
  </w:style>
  <w:style w:type="paragraph" w:styleId="Centredembed" w:customStyle="1">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styleId="DateChar" w:customStyle="1">
    <w:name w:val="Date Char"/>
    <w:basedOn w:val="DefaultParagraphFont"/>
    <w:rPr>
      <w:rFonts w:cs="Arial"/>
      <w:b/>
      <w:bCs/>
      <w:color w:val="104F75"/>
      <w:sz w:val="44"/>
      <w:szCs w:val="44"/>
    </w:rPr>
  </w:style>
  <w:style w:type="character" w:styleId="SourceChar" w:customStyle="1">
    <w:name w:val="Source Char"/>
    <w:basedOn w:val="DefaultParagraphFont"/>
  </w:style>
  <w:style w:type="paragraph" w:styleId="Source" w:customStyle="1">
    <w:name w:val="Source"/>
    <w:basedOn w:val="Normal"/>
    <w:pPr>
      <w:jc w:val="right"/>
    </w:pPr>
    <w:rPr>
      <w:sz w:val="20"/>
      <w:szCs w:val="20"/>
    </w:rPr>
  </w:style>
  <w:style w:type="paragraph" w:styleId="DfESOutNumbered1" w:customStyle="1">
    <w:name w:val="DfESOutNumbered1"/>
    <w:basedOn w:val="Normal"/>
    <w:pPr>
      <w:numPr>
        <w:numId w:val="3"/>
      </w:numPr>
    </w:pPr>
  </w:style>
  <w:style w:type="character" w:styleId="DfESOutNumbered1Char" w:customStyle="1">
    <w:name w:val="DfESOutNumbered1 Char"/>
    <w:rPr>
      <w:sz w:val="24"/>
      <w:szCs w:val="24"/>
    </w:rPr>
  </w:style>
  <w:style w:type="paragraph" w:styleId="TableRowRight" w:customStyle="1">
    <w:name w:val="TableRowRight"/>
    <w:basedOn w:val="TableRow"/>
    <w:pPr>
      <w:jc w:val="right"/>
    </w:pPr>
    <w:rPr>
      <w:szCs w:val="20"/>
    </w:rPr>
  </w:style>
  <w:style w:type="paragraph" w:styleId="TableRowCentered" w:customStyle="1">
    <w:name w:val="TableRowCentered"/>
    <w:basedOn w:val="TableRow"/>
    <w:pPr>
      <w:jc w:val="center"/>
    </w:pPr>
    <w:rPr>
      <w:szCs w:val="20"/>
    </w:rPr>
  </w:style>
  <w:style w:type="paragraph" w:styleId="SocialMedia" w:customStyle="1">
    <w:name w:val="SocialMedia"/>
    <w:basedOn w:val="Normal"/>
    <w:pPr>
      <w:tabs>
        <w:tab w:val="left" w:pos="4253"/>
        <w:tab w:val="left" w:pos="4820"/>
      </w:tabs>
      <w:spacing w:after="0" w:line="240" w:lineRule="auto"/>
      <w:ind w:firstLine="34"/>
    </w:pPr>
  </w:style>
  <w:style w:type="paragraph" w:styleId="Reference" w:customStyle="1">
    <w:name w:val="Reference"/>
    <w:basedOn w:val="Normal"/>
    <w:pPr>
      <w:tabs>
        <w:tab w:val="left" w:pos="1701"/>
      </w:tabs>
      <w:spacing w:before="240"/>
    </w:pPr>
  </w:style>
  <w:style w:type="character" w:styleId="SocialMediaChar" w:customStyle="1">
    <w:name w:val="SocialMedia Char"/>
    <w:basedOn w:val="DefaultParagraphFont"/>
    <w:rPr>
      <w:sz w:val="24"/>
      <w:szCs w:val="24"/>
    </w:rPr>
  </w:style>
  <w:style w:type="paragraph" w:styleId="Licence" w:customStyle="1">
    <w:name w:val="Licence"/>
    <w:basedOn w:val="Normal"/>
    <w:pPr>
      <w:tabs>
        <w:tab w:val="left" w:pos="1418"/>
      </w:tabs>
      <w:ind w:left="284"/>
      <w:contextualSpacing/>
    </w:pPr>
  </w:style>
  <w:style w:type="character" w:styleId="ReferenceChar" w:customStyle="1">
    <w:name w:val="Reference Char"/>
    <w:basedOn w:val="DefaultParagraphFont"/>
    <w:rPr>
      <w:color w:val="0D0D0D"/>
      <w:sz w:val="24"/>
      <w:szCs w:val="24"/>
    </w:rPr>
  </w:style>
  <w:style w:type="paragraph" w:styleId="LicenceIntro" w:customStyle="1">
    <w:name w:val="LicenceIntro"/>
    <w:basedOn w:val="Licence"/>
    <w:pPr>
      <w:spacing w:after="0"/>
      <w:ind w:left="0"/>
    </w:pPr>
    <w:rPr>
      <w:szCs w:val="20"/>
    </w:rPr>
  </w:style>
  <w:style w:type="character" w:styleId="LicenceChar" w:customStyle="1">
    <w:name w:val="Licence Char"/>
    <w:basedOn w:val="DefaultParagraphFont"/>
    <w:rPr>
      <w:sz w:val="24"/>
      <w:szCs w:val="24"/>
    </w:rPr>
  </w:style>
  <w:style w:type="paragraph" w:styleId="ListBullet2">
    <w:name w:val="List Bullet 2"/>
    <w:basedOn w:val="Normal"/>
    <w:pPr>
      <w:numPr>
        <w:numId w:val="6"/>
      </w:numPr>
      <w:tabs>
        <w:tab w:val="left" w:pos="491"/>
      </w:tabs>
      <w:contextualSpacing/>
    </w:pPr>
  </w:style>
  <w:style w:type="paragraph" w:styleId="Logos" w:customStyle="1">
    <w:name w:val="Logos"/>
    <w:basedOn w:val="Normal"/>
    <w:pPr>
      <w:pageBreakBefore/>
      <w:widowControl w:val="0"/>
    </w:pPr>
  </w:style>
  <w:style w:type="character" w:styleId="LogosChar" w:customStyle="1">
    <w:name w:val="Logos Char"/>
    <w:basedOn w:val="DefaultParagraphFont"/>
    <w:rPr>
      <w:color w:val="0D0D0D"/>
      <w:sz w:val="24"/>
      <w:szCs w:val="24"/>
    </w:rPr>
  </w:style>
  <w:style w:type="paragraph" w:styleId="ListBullet3">
    <w:name w:val="List Bullet 3"/>
    <w:basedOn w:val="Normal"/>
    <w:pPr>
      <w:numPr>
        <w:numId w:val="7"/>
      </w:numPr>
      <w:contextualSpacing/>
    </w:pPr>
  </w:style>
  <w:style w:type="paragraph" w:styleId="DfESOutNumbered" w:customStyle="1">
    <w:name w:val="DfESOutNumbered"/>
    <w:basedOn w:val="Normal"/>
    <w:pPr>
      <w:widowControl w:val="0"/>
      <w:numPr>
        <w:numId w:val="9"/>
      </w:numPr>
      <w:overflowPunct w:val="0"/>
      <w:autoSpaceDE w:val="0"/>
      <w:spacing w:line="240" w:lineRule="auto"/>
      <w:textAlignment w:val="baseline"/>
    </w:pPr>
    <w:rPr>
      <w:rFonts w:cs="Arial"/>
      <w:color w:val="auto"/>
      <w:sz w:val="22"/>
      <w:szCs w:val="20"/>
      <w:lang w:eastAsia="en-US"/>
    </w:rPr>
  </w:style>
  <w:style w:type="character" w:styleId="DfESOutNumberedChar" w:customStyle="1">
    <w:name w:val="DfESOutNumbered Char"/>
    <w:basedOn w:val="LogosChar"/>
    <w:rPr>
      <w:rFonts w:cs="Arial"/>
      <w:color w:val="0D0D0D"/>
      <w:sz w:val="22"/>
      <w:szCs w:val="24"/>
      <w:lang w:eastAsia="en-US"/>
    </w:rPr>
  </w:style>
  <w:style w:type="paragraph" w:styleId="DeptBullets" w:customStyle="1">
    <w:name w:val="DeptBullets"/>
    <w:basedOn w:val="Normal"/>
    <w:pPr>
      <w:widowControl w:val="0"/>
      <w:numPr>
        <w:numId w:val="10"/>
      </w:numPr>
      <w:overflowPunct w:val="0"/>
      <w:autoSpaceDE w:val="0"/>
      <w:spacing w:line="240" w:lineRule="auto"/>
      <w:textAlignment w:val="baseline"/>
    </w:pPr>
    <w:rPr>
      <w:color w:val="auto"/>
      <w:szCs w:val="20"/>
      <w:lang w:eastAsia="en-US"/>
    </w:rPr>
  </w:style>
  <w:style w:type="character" w:styleId="DeptBulletsChar" w:customStyle="1">
    <w:name w:val="DeptBullets Char"/>
    <w:basedOn w:val="LogosChar"/>
    <w:rPr>
      <w:color w:val="0D0D0D"/>
      <w:sz w:val="24"/>
      <w:szCs w:val="24"/>
      <w:lang w:eastAsia="en-US"/>
    </w:rPr>
  </w:style>
  <w:style w:type="paragraph" w:styleId="TOCHeader" w:customStyle="1">
    <w:name w:val="TOC Header"/>
    <w:pPr>
      <w:pageBreakBefore/>
      <w:suppressAutoHyphens/>
    </w:pPr>
    <w:rPr>
      <w:b/>
      <w:color w:val="104F75"/>
      <w:sz w:val="36"/>
      <w:szCs w:val="24"/>
    </w:rPr>
  </w:style>
  <w:style w:type="character" w:styleId="TOCHeaderChar" w:customStyle="1">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styleId="BodyTextIndentChar" w:customStyle="1">
    <w:name w:val="Body Text Indent Char"/>
    <w:basedOn w:val="DefaultParagraphFont"/>
    <w:rPr>
      <w:sz w:val="24"/>
      <w:lang w:eastAsia="en-US"/>
    </w:rPr>
  </w:style>
  <w:style w:type="paragraph" w:styleId="DeptOutNumbered" w:customStyle="1">
    <w:name w:val="DeptOutNumbered"/>
    <w:basedOn w:val="Normal"/>
    <w:pPr>
      <w:widowControl w:val="0"/>
      <w:numPr>
        <w:numId w:val="11"/>
      </w:numPr>
      <w:overflowPunct w:val="0"/>
      <w:autoSpaceDE w:val="0"/>
      <w:spacing w:line="240" w:lineRule="auto"/>
      <w:textAlignment w:val="baseline"/>
    </w:pPr>
    <w:rPr>
      <w:color w:val="auto"/>
      <w:szCs w:val="20"/>
      <w:lang w:eastAsia="en-US"/>
    </w:rPr>
  </w:style>
  <w:style w:type="paragraph" w:styleId="Heading" w:customStyle="1">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styleId="MinuteTop" w:customStyle="1">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styleId="Numbered" w:customStyle="1">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styleId="PersonalComposeStyle" w:customStyle="1">
    <w:name w:val="Personal Compose Style"/>
    <w:basedOn w:val="DefaultParagraphFont"/>
    <w:rPr>
      <w:rFonts w:ascii="Arial" w:hAnsi="Arial" w:cs="Arial"/>
      <w:color w:val="auto"/>
      <w:sz w:val="20"/>
    </w:rPr>
  </w:style>
  <w:style w:type="character" w:styleId="PersonalReplyStyle" w:customStyle="1">
    <w:name w:val="Personal Reply Style"/>
    <w:basedOn w:val="DefaultParagraphFont"/>
    <w:rPr>
      <w:rFonts w:ascii="Arial" w:hAnsi="Arial" w:cs="Arial"/>
      <w:color w:val="auto"/>
      <w:sz w:val="20"/>
    </w:rPr>
  </w:style>
  <w:style w:type="paragraph" w:styleId="Sub-Heading" w:customStyle="1">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styleId="SubtitleChar" w:customStyle="1">
    <w:name w:val="Subtitle Char"/>
    <w:basedOn w:val="DefaultParagraphFont"/>
    <w:rPr>
      <w:i/>
      <w:sz w:val="24"/>
      <w:lang w:eastAsia="en-US"/>
    </w:rPr>
  </w:style>
  <w:style w:type="paragraph" w:styleId="DfESBullets" w:customStyle="1">
    <w:name w:val="DfESBullets"/>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styleId="UnresolvedMention">
    <w:name w:val="Unresolved Mention"/>
    <w:basedOn w:val="DefaultParagraphFont"/>
    <w:rPr>
      <w:color w:val="605E5C"/>
      <w:shd w:val="clear" w:color="auto" w:fill="E1DFDD"/>
    </w:rPr>
  </w:style>
  <w:style w:type="numbering" w:styleId="WWOutlineListStyle" w:customStyle="1">
    <w:name w:val="WW_OutlineListStyle"/>
    <w:basedOn w:val="NoList"/>
    <w:pPr>
      <w:numPr>
        <w:numId w:val="2"/>
      </w:numPr>
    </w:pPr>
  </w:style>
  <w:style w:type="numbering" w:styleId="LFO3" w:customStyle="1">
    <w:name w:val="LFO3"/>
    <w:basedOn w:val="NoList"/>
    <w:pPr>
      <w:numPr>
        <w:numId w:val="3"/>
      </w:numPr>
    </w:pPr>
  </w:style>
  <w:style w:type="numbering" w:styleId="LFO4" w:customStyle="1">
    <w:name w:val="LFO4"/>
    <w:basedOn w:val="NoList"/>
    <w:pPr>
      <w:numPr>
        <w:numId w:val="4"/>
      </w:numPr>
    </w:pPr>
  </w:style>
  <w:style w:type="numbering" w:styleId="LFO6" w:customStyle="1">
    <w:name w:val="LFO6"/>
    <w:basedOn w:val="NoList"/>
    <w:pPr>
      <w:numPr>
        <w:numId w:val="5"/>
      </w:numPr>
    </w:pPr>
  </w:style>
  <w:style w:type="numbering" w:styleId="LFO9" w:customStyle="1">
    <w:name w:val="LFO9"/>
    <w:basedOn w:val="NoList"/>
    <w:pPr>
      <w:numPr>
        <w:numId w:val="6"/>
      </w:numPr>
    </w:pPr>
  </w:style>
  <w:style w:type="numbering" w:styleId="LFO10" w:customStyle="1">
    <w:name w:val="LFO10"/>
    <w:basedOn w:val="NoList"/>
    <w:pPr>
      <w:numPr>
        <w:numId w:val="7"/>
      </w:numPr>
    </w:pPr>
  </w:style>
  <w:style w:type="numbering" w:styleId="LFO25" w:customStyle="1">
    <w:name w:val="LFO25"/>
    <w:basedOn w:val="NoList"/>
    <w:pPr>
      <w:numPr>
        <w:numId w:val="8"/>
      </w:numPr>
    </w:pPr>
  </w:style>
  <w:style w:type="numbering" w:styleId="LFO28" w:customStyle="1">
    <w:name w:val="LFO28"/>
    <w:basedOn w:val="NoList"/>
    <w:pPr>
      <w:numPr>
        <w:numId w:val="9"/>
      </w:numPr>
    </w:pPr>
  </w:style>
  <w:style w:type="numbering" w:styleId="LFO30" w:customStyle="1">
    <w:name w:val="LFO30"/>
    <w:basedOn w:val="NoList"/>
    <w:pPr>
      <w:numPr>
        <w:numId w:val="10"/>
      </w:numPr>
    </w:pPr>
  </w:style>
  <w:style w:type="numbering" w:styleId="LFO34" w:customStyle="1">
    <w:name w:val="LFO34"/>
    <w:basedOn w:val="NoList"/>
    <w:pPr>
      <w:numPr>
        <w:numId w:val="11"/>
      </w:numPr>
    </w:pPr>
  </w:style>
  <w:style w:type="numbering" w:styleId="LFO36" w:customStyle="1">
    <w:name w:val="LFO36"/>
    <w:basedOn w:val="NoList"/>
    <w:pPr>
      <w:numPr>
        <w:numId w:val="12"/>
      </w:numPr>
    </w:pPr>
  </w:style>
  <w:style w:type="paragraph" w:styleId="Revision">
    <w:name w:val="Revision"/>
    <w:hidden/>
    <w:uiPriority w:val="99"/>
    <w:semiHidden/>
    <w:rsid w:val="00115538"/>
    <w:pPr>
      <w:autoSpaceDN/>
    </w:pPr>
    <w:rPr>
      <w:color w:val="0D0D0D"/>
      <w:sz w:val="24"/>
      <w:szCs w:val="24"/>
    </w:rPr>
  </w:style>
  <w:style w:type="character" w:styleId="Mention">
    <w:name w:val="Mention"/>
    <w:basedOn w:val="DefaultParagraphFont"/>
    <w:uiPriority w:val="99"/>
    <w:unhideWhenUsed/>
    <w:rsid w:val="00E726A6"/>
    <w:rPr>
      <w:color w:val="2B579A"/>
      <w:shd w:val="clear" w:color="auto" w:fill="E1DFDD"/>
    </w:rPr>
  </w:style>
  <w:style w:type="table" w:styleId="TableGrid">
    <w:name w:val="Table Grid"/>
    <w:basedOn w:val="TableNormal"/>
    <w:uiPriority w:val="59"/>
    <w:rsid w:val="009539E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ListParagraphChar" w:customStyle="1">
    <w:name w:val="List Paragraph Char"/>
    <w:aliases w:val="Dot pt Char,No Spacing1 Char,List Paragraph Char Char Char Char,Indicator Text Char,Numbered Para 1 Char,Bullet 1 Char,List Paragraph1 Char,F5 List Paragraph Char,Bullet Points Char,MAIN CONTENT Char,List Paragraph12 Char"/>
    <w:basedOn w:val="DefaultParagraphFont"/>
    <w:link w:val="ListParagraph"/>
    <w:uiPriority w:val="34"/>
    <w:locked/>
    <w:rsid w:val="00721B51"/>
    <w:rPr>
      <w:color w:val="0D0D0D"/>
      <w:sz w:val="24"/>
      <w:szCs w:val="24"/>
    </w:rPr>
  </w:style>
  <w:style w:type="character" w:styleId="ui-provider" w:customStyle="1">
    <w:name w:val="ui-provider"/>
    <w:basedOn w:val="DefaultParagraphFont"/>
    <w:rsid w:val="00287FA8"/>
  </w:style>
  <w:style w:type="paragraph" w:styleId="NoSpacing">
    <w:name w:val="No Spacing"/>
    <w:uiPriority w:val="1"/>
    <w:qFormat/>
    <w:rsid w:val="0079564C"/>
    <w:pPr>
      <w:suppressAutoHyphens/>
    </w:pPr>
    <w:rPr>
      <w:color w:val="0D0D0D"/>
      <w:sz w:val="24"/>
      <w:szCs w:val="24"/>
    </w:rPr>
  </w:style>
  <w:style w:type="character" w:styleId="Strong">
    <w:name w:val="Strong"/>
    <w:basedOn w:val="DefaultParagraphFont"/>
    <w:uiPriority w:val="22"/>
    <w:qFormat/>
    <w:rsid w:val="00C95AB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294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772495C8DC7BA4380D1EB9CAF9C38BF" ma:contentTypeVersion="12" ma:contentTypeDescription="Create a new document." ma:contentTypeScope="" ma:versionID="51be96e400318f32a5f427b3db890684">
  <xsd:schema xmlns:xsd="http://www.w3.org/2001/XMLSchema" xmlns:xs="http://www.w3.org/2001/XMLSchema" xmlns:p="http://schemas.microsoft.com/office/2006/metadata/properties" xmlns:ns3="eafee376-94ac-4945-9de8-e96015667bc6" targetNamespace="http://schemas.microsoft.com/office/2006/metadata/properties" ma:root="true" ma:fieldsID="c0378cbc6ffca382b5619de00b335f9c" ns3:_="">
    <xsd:import namespace="eafee376-94ac-4945-9de8-e96015667bc6"/>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element ref="ns3:_activity" minOccurs="0"/>
                <xsd:element ref="ns3:MediaServiceLocation" minOccurs="0"/>
                <xsd:element ref="ns3:MediaLengthInSecond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fee376-94ac-4945-9de8-e96015667bc6"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activity" ma:index="16" nillable="true" ma:displayName="_activity" ma:hidden="true" ma:internalName="_activity">
      <xsd:simpleType>
        <xsd:restriction base="dms:Note"/>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eafee376-94ac-4945-9de8-e96015667bc6" xsi:nil="true"/>
  </documentManagement>
</p:properties>
</file>

<file path=customXml/itemProps1.xml><?xml version="1.0" encoding="utf-8"?>
<ds:datastoreItem xmlns:ds="http://schemas.openxmlformats.org/officeDocument/2006/customXml" ds:itemID="{F8958FFF-2626-4749-8675-D69A06A4F0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fee376-94ac-4945-9de8-e96015667b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7BF8766-F730-4C55-BFA4-4804917BE678}">
  <ds:schemaRefs>
    <ds:schemaRef ds:uri="http://schemas.microsoft.com/sharepoint/v3/contenttype/forms"/>
  </ds:schemaRefs>
</ds:datastoreItem>
</file>

<file path=customXml/itemProps3.xml><?xml version="1.0" encoding="utf-8"?>
<ds:datastoreItem xmlns:ds="http://schemas.openxmlformats.org/officeDocument/2006/customXml" ds:itemID="{19107355-5C31-46C6-B7A3-F6A39E276FF4}">
  <ds:schemaRefs>
    <ds:schemaRef ds:uri="http://schemas.microsoft.com/office/2006/metadata/properties"/>
    <ds:schemaRef ds:uri="http://schemas.microsoft.com/office/infopath/2007/PartnerControls"/>
    <ds:schemaRef ds:uri="eafee376-94ac-4945-9de8-e96015667bc6"/>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Pupil premium strategy statement</dc:title>
  <dc:subject/>
  <dc:creator>Department for Education</dc:creator>
  <keywords/>
  <dc:description/>
  <lastModifiedBy>Culcheth Primary Head</lastModifiedBy>
  <revision>4</revision>
  <lastPrinted>2014-09-18T05:26:00.0000000Z</lastPrinted>
  <dcterms:created xsi:type="dcterms:W3CDTF">2026-08-27T09:48:00.0000000Z</dcterms:created>
  <dcterms:modified xsi:type="dcterms:W3CDTF">2026-08-28T10:08:42.9109558Z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0x0101006772495C8DC7BA4380D1EB9CAF9C38BF</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ies>
</file>